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A61" w:rsidRPr="0064520E" w:rsidRDefault="00731A61" w:rsidP="00731A61">
      <w:pPr>
        <w:jc w:val="center"/>
        <w:rPr>
          <w:rFonts w:ascii="Tahoma" w:hAnsi="Tahoma" w:cs="Tahoma"/>
          <w:b/>
          <w:sz w:val="24"/>
          <w:szCs w:val="24"/>
        </w:rPr>
      </w:pPr>
      <w:r w:rsidRPr="0064520E">
        <w:rPr>
          <w:rFonts w:ascii="Tahoma" w:hAnsi="Tahoma" w:cs="Tahoma"/>
          <w:b/>
          <w:sz w:val="24"/>
          <w:szCs w:val="24"/>
        </w:rPr>
        <w:t>Consumer Futures Unit Response: CMA: Heat Networks Market Study</w:t>
      </w:r>
    </w:p>
    <w:p w:rsidR="00CA1E2D" w:rsidRPr="0064520E" w:rsidRDefault="00CA1E2D" w:rsidP="00DA4DC6">
      <w:pPr>
        <w:rPr>
          <w:rFonts w:ascii="Tahoma" w:hAnsi="Tahoma" w:cs="Tahoma"/>
          <w:b/>
        </w:rPr>
      </w:pPr>
      <w:r w:rsidRPr="0064520E">
        <w:rPr>
          <w:rFonts w:ascii="Tahoma" w:hAnsi="Tahoma" w:cs="Tahoma"/>
          <w:b/>
        </w:rPr>
        <w:t>About Us</w:t>
      </w:r>
    </w:p>
    <w:p w:rsidR="00CA1E2D" w:rsidRDefault="00DA4DC6" w:rsidP="00DA4DC6">
      <w:pPr>
        <w:rPr>
          <w:rFonts w:ascii="Tahoma" w:hAnsi="Tahoma" w:cs="Tahoma"/>
          <w:sz w:val="24"/>
        </w:rPr>
      </w:pPr>
      <w:r w:rsidRPr="008E5429">
        <w:rPr>
          <w:rFonts w:ascii="Tahoma" w:hAnsi="Tahoma" w:cs="Tahoma"/>
          <w:sz w:val="24"/>
        </w:rPr>
        <w:t xml:space="preserve">The Consumer Futures Unit (CFU), part of Citizens Advice Scotland, uses research and evidence to put consumers at the heart of policy and regulation in the energy, post and water sectors in Scotland. We work with government, regulators and business to put consumers first, designing policy and practice around their needs and aspirations. </w:t>
      </w:r>
    </w:p>
    <w:p w:rsidR="00BA1CC8" w:rsidRPr="008E5429" w:rsidRDefault="00BA1CC8" w:rsidP="00DA4DC6">
      <w:pPr>
        <w:rPr>
          <w:rFonts w:ascii="Tahoma" w:hAnsi="Tahoma" w:cs="Tahoma"/>
          <w:sz w:val="24"/>
        </w:rPr>
      </w:pPr>
      <w:r>
        <w:rPr>
          <w:rFonts w:ascii="Tahoma" w:hAnsi="Tahoma" w:cs="Tahoma"/>
          <w:sz w:val="24"/>
        </w:rPr>
        <w:t>We welcome</w:t>
      </w:r>
      <w:r w:rsidR="008E5429">
        <w:rPr>
          <w:rFonts w:ascii="Tahoma" w:hAnsi="Tahoma" w:cs="Tahoma"/>
          <w:sz w:val="24"/>
        </w:rPr>
        <w:t xml:space="preserve"> the</w:t>
      </w:r>
      <w:r>
        <w:rPr>
          <w:rFonts w:ascii="Tahoma" w:hAnsi="Tahoma" w:cs="Tahoma"/>
          <w:sz w:val="24"/>
        </w:rPr>
        <w:t xml:space="preserve"> Heat Networks Market Study</w:t>
      </w:r>
      <w:r w:rsidR="007B5984">
        <w:rPr>
          <w:rFonts w:ascii="Tahoma" w:hAnsi="Tahoma" w:cs="Tahoma"/>
          <w:sz w:val="24"/>
        </w:rPr>
        <w:t>,</w:t>
      </w:r>
      <w:r>
        <w:rPr>
          <w:rFonts w:ascii="Tahoma" w:hAnsi="Tahoma" w:cs="Tahoma"/>
          <w:sz w:val="24"/>
        </w:rPr>
        <w:t xml:space="preserve"> and having undertaken significant work into the consumer issues in the heat market in Scotland we are keen to work with the CMA to support this ongoing investigation.</w:t>
      </w:r>
    </w:p>
    <w:p w:rsidR="00C327B9" w:rsidRPr="00527C3C" w:rsidRDefault="00C327B9" w:rsidP="000E34C1">
      <w:pPr>
        <w:jc w:val="both"/>
        <w:rPr>
          <w:rFonts w:ascii="Tahoma" w:hAnsi="Tahoma" w:cs="Tahoma"/>
          <w:b/>
          <w:sz w:val="24"/>
          <w:szCs w:val="24"/>
        </w:rPr>
      </w:pPr>
      <w:r w:rsidRPr="00527C3C">
        <w:rPr>
          <w:rFonts w:ascii="Tahoma" w:hAnsi="Tahoma" w:cs="Tahoma"/>
          <w:b/>
          <w:sz w:val="24"/>
          <w:szCs w:val="24"/>
        </w:rPr>
        <w:t>Transparency</w:t>
      </w:r>
    </w:p>
    <w:p w:rsidR="004008E0" w:rsidRPr="000E34C1" w:rsidRDefault="00F76DF3" w:rsidP="000E34C1">
      <w:pPr>
        <w:pStyle w:val="ListParagraph"/>
        <w:numPr>
          <w:ilvl w:val="0"/>
          <w:numId w:val="10"/>
        </w:numPr>
        <w:jc w:val="both"/>
        <w:rPr>
          <w:rFonts w:ascii="Tahoma" w:hAnsi="Tahoma" w:cs="Tahoma"/>
          <w:b/>
          <w:sz w:val="24"/>
          <w:szCs w:val="24"/>
        </w:rPr>
      </w:pPr>
      <w:r w:rsidRPr="000E34C1">
        <w:rPr>
          <w:rFonts w:ascii="Tahoma" w:hAnsi="Tahoma" w:cs="Tahoma"/>
          <w:b/>
          <w:sz w:val="24"/>
          <w:szCs w:val="24"/>
        </w:rPr>
        <w:t>Are consumers given sufficient information on heat networks before their decision to buy or rent a property that has a heat network?</w:t>
      </w:r>
    </w:p>
    <w:p w:rsidR="00EE4536" w:rsidRPr="000E34C1" w:rsidRDefault="00EE4536" w:rsidP="000E34C1">
      <w:pPr>
        <w:jc w:val="both"/>
        <w:rPr>
          <w:rFonts w:ascii="Tahoma" w:hAnsi="Tahoma" w:cs="Tahoma"/>
          <w:sz w:val="24"/>
          <w:szCs w:val="24"/>
        </w:rPr>
      </w:pPr>
      <w:r w:rsidRPr="000E34C1">
        <w:rPr>
          <w:rFonts w:ascii="Tahoma" w:hAnsi="Tahoma" w:cs="Tahoma"/>
          <w:sz w:val="24"/>
          <w:szCs w:val="24"/>
        </w:rPr>
        <w:t xml:space="preserve">Information is one of the seven key </w:t>
      </w:r>
      <w:r w:rsidR="00BA1CC8">
        <w:rPr>
          <w:rFonts w:ascii="Tahoma" w:hAnsi="Tahoma" w:cs="Tahoma"/>
          <w:sz w:val="24"/>
          <w:szCs w:val="24"/>
        </w:rPr>
        <w:t xml:space="preserve">CFU </w:t>
      </w:r>
      <w:r w:rsidRPr="000E34C1">
        <w:rPr>
          <w:rFonts w:ascii="Tahoma" w:hAnsi="Tahoma" w:cs="Tahoma"/>
          <w:sz w:val="24"/>
          <w:szCs w:val="24"/>
        </w:rPr>
        <w:t xml:space="preserve">consumer principles </w:t>
      </w:r>
      <w:r w:rsidR="008E5429">
        <w:rPr>
          <w:rFonts w:ascii="Tahoma" w:hAnsi="Tahoma" w:cs="Tahoma"/>
          <w:sz w:val="24"/>
          <w:szCs w:val="24"/>
        </w:rPr>
        <w:t xml:space="preserve">and it </w:t>
      </w:r>
      <w:r w:rsidRPr="000E34C1">
        <w:rPr>
          <w:rFonts w:ascii="Tahoma" w:hAnsi="Tahoma" w:cs="Tahoma"/>
          <w:sz w:val="24"/>
          <w:szCs w:val="24"/>
        </w:rPr>
        <w:t>is crucial that prospective homeowners or tenants are provid</w:t>
      </w:r>
      <w:r w:rsidR="002E5324">
        <w:rPr>
          <w:rFonts w:ascii="Tahoma" w:hAnsi="Tahoma" w:cs="Tahoma"/>
          <w:sz w:val="24"/>
          <w:szCs w:val="24"/>
        </w:rPr>
        <w:t xml:space="preserve">ed with timely, comprehensive, </w:t>
      </w:r>
      <w:r w:rsidRPr="000E34C1">
        <w:rPr>
          <w:rFonts w:ascii="Tahoma" w:hAnsi="Tahoma" w:cs="Tahoma"/>
          <w:sz w:val="24"/>
          <w:szCs w:val="24"/>
        </w:rPr>
        <w:t>and accurate information prior to the decision to buy or rent.</w:t>
      </w:r>
      <w:r w:rsidR="009032BC" w:rsidRPr="000E34C1">
        <w:rPr>
          <w:rStyle w:val="FootnoteReference"/>
          <w:rFonts w:ascii="Tahoma" w:hAnsi="Tahoma" w:cs="Tahoma"/>
          <w:sz w:val="24"/>
          <w:szCs w:val="24"/>
        </w:rPr>
        <w:footnoteReference w:id="1"/>
      </w:r>
      <w:r w:rsidR="00102C19">
        <w:rPr>
          <w:rFonts w:ascii="Tahoma" w:hAnsi="Tahoma" w:cs="Tahoma"/>
          <w:sz w:val="24"/>
          <w:szCs w:val="24"/>
        </w:rPr>
        <w:t xml:space="preserve"> </w:t>
      </w:r>
    </w:p>
    <w:p w:rsidR="00944B78" w:rsidRDefault="00BA1CC8" w:rsidP="000E34C1">
      <w:pPr>
        <w:jc w:val="both"/>
        <w:rPr>
          <w:rFonts w:ascii="Tahoma" w:hAnsi="Tahoma" w:cs="Tahoma"/>
          <w:sz w:val="24"/>
          <w:szCs w:val="24"/>
        </w:rPr>
      </w:pPr>
      <w:r>
        <w:rPr>
          <w:rFonts w:ascii="Tahoma" w:hAnsi="Tahoma" w:cs="Tahoma"/>
          <w:sz w:val="24"/>
          <w:szCs w:val="24"/>
        </w:rPr>
        <w:t>CFU</w:t>
      </w:r>
      <w:r w:rsidR="00FF488C" w:rsidRPr="000E34C1">
        <w:rPr>
          <w:rFonts w:ascii="Tahoma" w:hAnsi="Tahoma" w:cs="Tahoma"/>
          <w:sz w:val="24"/>
          <w:szCs w:val="24"/>
        </w:rPr>
        <w:t xml:space="preserve"> </w:t>
      </w:r>
      <w:proofErr w:type="gramStart"/>
      <w:r w:rsidR="00366AA3" w:rsidRPr="000E34C1">
        <w:rPr>
          <w:rFonts w:ascii="Tahoma" w:hAnsi="Tahoma" w:cs="Tahoma"/>
          <w:sz w:val="24"/>
          <w:szCs w:val="24"/>
        </w:rPr>
        <w:t xml:space="preserve">research </w:t>
      </w:r>
      <w:r>
        <w:rPr>
          <w:rFonts w:ascii="Tahoma" w:hAnsi="Tahoma" w:cs="Tahoma"/>
          <w:sz w:val="24"/>
          <w:szCs w:val="24"/>
        </w:rPr>
        <w:t>found</w:t>
      </w:r>
      <w:r w:rsidRPr="000E34C1">
        <w:rPr>
          <w:rFonts w:ascii="Tahoma" w:hAnsi="Tahoma" w:cs="Tahoma"/>
          <w:sz w:val="24"/>
          <w:szCs w:val="24"/>
        </w:rPr>
        <w:t xml:space="preserve"> </w:t>
      </w:r>
      <w:r w:rsidR="00366AA3" w:rsidRPr="000E34C1">
        <w:rPr>
          <w:rFonts w:ascii="Tahoma" w:hAnsi="Tahoma" w:cs="Tahoma"/>
          <w:sz w:val="24"/>
          <w:szCs w:val="24"/>
        </w:rPr>
        <w:t>that there are</w:t>
      </w:r>
      <w:proofErr w:type="gramEnd"/>
      <w:r w:rsidR="00366AA3" w:rsidRPr="000E34C1">
        <w:rPr>
          <w:rFonts w:ascii="Tahoma" w:hAnsi="Tahoma" w:cs="Tahoma"/>
          <w:sz w:val="24"/>
          <w:szCs w:val="24"/>
        </w:rPr>
        <w:t xml:space="preserve"> mixed approaches </w:t>
      </w:r>
      <w:r w:rsidR="00FF488C" w:rsidRPr="000E34C1">
        <w:rPr>
          <w:rFonts w:ascii="Tahoma" w:hAnsi="Tahoma" w:cs="Tahoma"/>
          <w:sz w:val="24"/>
          <w:szCs w:val="24"/>
        </w:rPr>
        <w:t>to</w:t>
      </w:r>
      <w:r w:rsidR="00366AA3" w:rsidRPr="000E34C1">
        <w:rPr>
          <w:rFonts w:ascii="Tahoma" w:hAnsi="Tahoma" w:cs="Tahoma"/>
          <w:sz w:val="24"/>
          <w:szCs w:val="24"/>
        </w:rPr>
        <w:t xml:space="preserve"> the provision of information to new customers. Some suppliers reported that they provide information via face-to-face home i</w:t>
      </w:r>
      <w:r w:rsidR="00FF488C" w:rsidRPr="000E34C1">
        <w:rPr>
          <w:rFonts w:ascii="Tahoma" w:hAnsi="Tahoma" w:cs="Tahoma"/>
          <w:sz w:val="24"/>
          <w:szCs w:val="24"/>
        </w:rPr>
        <w:t xml:space="preserve">nductions, </w:t>
      </w:r>
      <w:r w:rsidR="00EE4536" w:rsidRPr="000E34C1">
        <w:rPr>
          <w:rFonts w:ascii="Tahoma" w:hAnsi="Tahoma" w:cs="Tahoma"/>
          <w:sz w:val="24"/>
          <w:szCs w:val="24"/>
        </w:rPr>
        <w:t>others provided</w:t>
      </w:r>
      <w:r w:rsidR="00366AA3" w:rsidRPr="000E34C1">
        <w:rPr>
          <w:rFonts w:ascii="Tahoma" w:hAnsi="Tahoma" w:cs="Tahoma"/>
          <w:sz w:val="24"/>
          <w:szCs w:val="24"/>
        </w:rPr>
        <w:t xml:space="preserve"> written information via a home information pack</w:t>
      </w:r>
      <w:r w:rsidR="00FF488C" w:rsidRPr="000E34C1">
        <w:rPr>
          <w:rFonts w:ascii="Tahoma" w:hAnsi="Tahoma" w:cs="Tahoma"/>
          <w:sz w:val="24"/>
          <w:szCs w:val="24"/>
        </w:rPr>
        <w:t>, and s</w:t>
      </w:r>
      <w:r w:rsidR="00366AA3" w:rsidRPr="000E34C1">
        <w:rPr>
          <w:rFonts w:ascii="Tahoma" w:hAnsi="Tahoma" w:cs="Tahoma"/>
          <w:sz w:val="24"/>
          <w:szCs w:val="24"/>
        </w:rPr>
        <w:t>ome organisations also have their own energy advisors.</w:t>
      </w:r>
      <w:r w:rsidR="009032BC" w:rsidRPr="000E34C1">
        <w:rPr>
          <w:rStyle w:val="FootnoteReference"/>
          <w:rFonts w:ascii="Tahoma" w:hAnsi="Tahoma" w:cs="Tahoma"/>
          <w:sz w:val="24"/>
          <w:szCs w:val="24"/>
        </w:rPr>
        <w:footnoteReference w:id="2"/>
      </w:r>
      <w:r w:rsidR="00FF488C" w:rsidRPr="000E34C1">
        <w:rPr>
          <w:rFonts w:ascii="Tahoma" w:hAnsi="Tahoma" w:cs="Tahoma"/>
          <w:sz w:val="24"/>
          <w:szCs w:val="24"/>
        </w:rPr>
        <w:t xml:space="preserve"> A case in</w:t>
      </w:r>
      <w:r w:rsidR="00366AA3" w:rsidRPr="000E34C1">
        <w:rPr>
          <w:rFonts w:ascii="Tahoma" w:hAnsi="Tahoma" w:cs="Tahoma"/>
          <w:sz w:val="24"/>
          <w:szCs w:val="24"/>
        </w:rPr>
        <w:t xml:space="preserve"> </w:t>
      </w:r>
      <w:proofErr w:type="spellStart"/>
      <w:proofErr w:type="gramStart"/>
      <w:r w:rsidR="00366AA3" w:rsidRPr="000E34C1">
        <w:rPr>
          <w:rFonts w:ascii="Tahoma" w:hAnsi="Tahoma" w:cs="Tahoma"/>
          <w:sz w:val="24"/>
          <w:szCs w:val="24"/>
        </w:rPr>
        <w:t>Which</w:t>
      </w:r>
      <w:proofErr w:type="gramEnd"/>
      <w:r w:rsidR="00366AA3" w:rsidRPr="000E34C1">
        <w:rPr>
          <w:rFonts w:ascii="Tahoma" w:hAnsi="Tahoma" w:cs="Tahoma"/>
          <w:sz w:val="24"/>
          <w:szCs w:val="24"/>
        </w:rPr>
        <w:t>?</w:t>
      </w:r>
      <w:r w:rsidR="00FF488C" w:rsidRPr="000E34C1">
        <w:rPr>
          <w:rFonts w:ascii="Tahoma" w:hAnsi="Tahoma" w:cs="Tahoma"/>
          <w:sz w:val="24"/>
          <w:szCs w:val="24"/>
        </w:rPr>
        <w:t>’</w:t>
      </w:r>
      <w:proofErr w:type="gramStart"/>
      <w:r w:rsidR="00FF488C" w:rsidRPr="000E34C1">
        <w:rPr>
          <w:rFonts w:ascii="Tahoma" w:hAnsi="Tahoma" w:cs="Tahoma"/>
          <w:sz w:val="24"/>
          <w:szCs w:val="24"/>
        </w:rPr>
        <w:t>s</w:t>
      </w:r>
      <w:proofErr w:type="spellEnd"/>
      <w:proofErr w:type="gramEnd"/>
      <w:r w:rsidR="00FF488C" w:rsidRPr="000E34C1">
        <w:rPr>
          <w:rFonts w:ascii="Tahoma" w:hAnsi="Tahoma" w:cs="Tahoma"/>
          <w:sz w:val="24"/>
          <w:szCs w:val="24"/>
        </w:rPr>
        <w:t xml:space="preserve"> research</w:t>
      </w:r>
      <w:r w:rsidR="00EE4536" w:rsidRPr="000E34C1">
        <w:rPr>
          <w:rFonts w:ascii="Tahoma" w:hAnsi="Tahoma" w:cs="Tahoma"/>
          <w:sz w:val="24"/>
          <w:szCs w:val="24"/>
        </w:rPr>
        <w:t xml:space="preserve"> </w:t>
      </w:r>
      <w:r w:rsidR="001D0A68">
        <w:rPr>
          <w:rFonts w:ascii="Tahoma" w:hAnsi="Tahoma" w:cs="Tahoma"/>
          <w:sz w:val="24"/>
          <w:szCs w:val="24"/>
        </w:rPr>
        <w:t>demonstrated</w:t>
      </w:r>
      <w:r w:rsidR="00EE4536" w:rsidRPr="000E34C1">
        <w:rPr>
          <w:rFonts w:ascii="Tahoma" w:hAnsi="Tahoma" w:cs="Tahoma"/>
          <w:sz w:val="24"/>
          <w:szCs w:val="24"/>
        </w:rPr>
        <w:t xml:space="preserve"> </w:t>
      </w:r>
      <w:r w:rsidR="00944B78" w:rsidRPr="000E34C1">
        <w:rPr>
          <w:rFonts w:ascii="Tahoma" w:hAnsi="Tahoma" w:cs="Tahoma"/>
          <w:sz w:val="24"/>
          <w:szCs w:val="24"/>
        </w:rPr>
        <w:t xml:space="preserve">that </w:t>
      </w:r>
      <w:r w:rsidR="00FF488C" w:rsidRPr="000E34C1">
        <w:rPr>
          <w:rFonts w:ascii="Tahoma" w:hAnsi="Tahoma" w:cs="Tahoma"/>
          <w:sz w:val="24"/>
          <w:szCs w:val="24"/>
        </w:rPr>
        <w:t xml:space="preserve">expected low energy costs </w:t>
      </w:r>
      <w:r w:rsidR="00944B78" w:rsidRPr="000E34C1">
        <w:rPr>
          <w:rFonts w:ascii="Tahoma" w:hAnsi="Tahoma" w:cs="Tahoma"/>
          <w:sz w:val="24"/>
          <w:szCs w:val="24"/>
        </w:rPr>
        <w:t xml:space="preserve">based on information provided </w:t>
      </w:r>
      <w:r w:rsidR="00EC0803" w:rsidRPr="000E34C1">
        <w:rPr>
          <w:rFonts w:ascii="Tahoma" w:hAnsi="Tahoma" w:cs="Tahoma"/>
          <w:sz w:val="24"/>
          <w:szCs w:val="24"/>
        </w:rPr>
        <w:t xml:space="preserve">when purchasing a property </w:t>
      </w:r>
      <w:r w:rsidR="001D0A68">
        <w:rPr>
          <w:rFonts w:ascii="Tahoma" w:hAnsi="Tahoma" w:cs="Tahoma"/>
          <w:sz w:val="24"/>
          <w:szCs w:val="24"/>
        </w:rPr>
        <w:t>are</w:t>
      </w:r>
      <w:r w:rsidR="00FF488C" w:rsidRPr="000E34C1">
        <w:rPr>
          <w:rFonts w:ascii="Tahoma" w:hAnsi="Tahoma" w:cs="Tahoma"/>
          <w:sz w:val="24"/>
          <w:szCs w:val="24"/>
        </w:rPr>
        <w:t xml:space="preserve"> not </w:t>
      </w:r>
      <w:r w:rsidR="001D0A68">
        <w:rPr>
          <w:rFonts w:ascii="Tahoma" w:hAnsi="Tahoma" w:cs="Tahoma"/>
          <w:sz w:val="24"/>
          <w:szCs w:val="24"/>
        </w:rPr>
        <w:t xml:space="preserve">always </w:t>
      </w:r>
      <w:r w:rsidR="00FF488C" w:rsidRPr="000E34C1">
        <w:rPr>
          <w:rFonts w:ascii="Tahoma" w:hAnsi="Tahoma" w:cs="Tahoma"/>
          <w:sz w:val="24"/>
          <w:szCs w:val="24"/>
        </w:rPr>
        <w:t>realised.</w:t>
      </w:r>
      <w:r w:rsidR="009032BC" w:rsidRPr="000E34C1">
        <w:rPr>
          <w:rStyle w:val="FootnoteReference"/>
          <w:rFonts w:ascii="Tahoma" w:hAnsi="Tahoma" w:cs="Tahoma"/>
          <w:sz w:val="24"/>
          <w:szCs w:val="24"/>
        </w:rPr>
        <w:footnoteReference w:id="3"/>
      </w:r>
    </w:p>
    <w:p w:rsidR="00E12872" w:rsidRPr="000E34C1" w:rsidRDefault="00E12872" w:rsidP="000E34C1">
      <w:pPr>
        <w:jc w:val="both"/>
        <w:rPr>
          <w:rFonts w:ascii="Tahoma" w:hAnsi="Tahoma" w:cs="Tahoma"/>
          <w:sz w:val="24"/>
          <w:szCs w:val="24"/>
        </w:rPr>
      </w:pPr>
      <w:r>
        <w:rPr>
          <w:rFonts w:ascii="Tahoma" w:hAnsi="Tahoma" w:cs="Tahoma"/>
          <w:sz w:val="24"/>
          <w:szCs w:val="24"/>
        </w:rPr>
        <w:t>Recent CFU research has also found that consumers may require additional information on how to use newly installed heating systems beyond initial written or verbal instruction, through follow-up advice and guidance.</w:t>
      </w:r>
      <w:r w:rsidR="0042417D">
        <w:rPr>
          <w:rStyle w:val="FootnoteReference"/>
          <w:rFonts w:ascii="Tahoma" w:hAnsi="Tahoma" w:cs="Tahoma"/>
          <w:sz w:val="24"/>
          <w:szCs w:val="24"/>
        </w:rPr>
        <w:footnoteReference w:id="4"/>
      </w:r>
      <w:r>
        <w:rPr>
          <w:rFonts w:ascii="Tahoma" w:hAnsi="Tahoma" w:cs="Tahoma"/>
          <w:sz w:val="24"/>
          <w:szCs w:val="24"/>
        </w:rPr>
        <w:t xml:space="preserve"> While this refers to the replacement of heating systems, it is possible that similar issues may arise when beginning a new tenancy or buying a new property.   </w:t>
      </w:r>
    </w:p>
    <w:p w:rsidR="00EE4536" w:rsidRPr="000E34C1" w:rsidRDefault="00EE4536" w:rsidP="000E34C1">
      <w:pPr>
        <w:pStyle w:val="ListParagraph"/>
        <w:numPr>
          <w:ilvl w:val="0"/>
          <w:numId w:val="10"/>
        </w:numPr>
        <w:jc w:val="both"/>
        <w:rPr>
          <w:rFonts w:ascii="Tahoma" w:hAnsi="Tahoma" w:cs="Tahoma"/>
          <w:b/>
          <w:sz w:val="24"/>
          <w:szCs w:val="24"/>
        </w:rPr>
      </w:pPr>
      <w:r w:rsidRPr="000E34C1">
        <w:rPr>
          <w:rFonts w:ascii="Tahoma" w:hAnsi="Tahoma" w:cs="Tahoma"/>
          <w:b/>
          <w:sz w:val="24"/>
          <w:szCs w:val="24"/>
        </w:rPr>
        <w:t>To what extent are consumers able to assess and act upon information regarding heat networks prior to purchasing a property?</w:t>
      </w:r>
    </w:p>
    <w:p w:rsidR="003C14C7" w:rsidRPr="000E34C1" w:rsidRDefault="008B297B" w:rsidP="000E34C1">
      <w:pPr>
        <w:jc w:val="both"/>
        <w:rPr>
          <w:rFonts w:ascii="Tahoma" w:hAnsi="Tahoma" w:cs="Tahoma"/>
          <w:sz w:val="24"/>
          <w:szCs w:val="24"/>
        </w:rPr>
      </w:pPr>
      <w:proofErr w:type="spellStart"/>
      <w:r>
        <w:rPr>
          <w:rFonts w:ascii="Tahoma" w:hAnsi="Tahoma" w:cs="Tahoma"/>
          <w:sz w:val="24"/>
          <w:szCs w:val="24"/>
        </w:rPr>
        <w:lastRenderedPageBreak/>
        <w:t>Which?’s</w:t>
      </w:r>
      <w:proofErr w:type="spellEnd"/>
      <w:r>
        <w:rPr>
          <w:rFonts w:ascii="Tahoma" w:hAnsi="Tahoma" w:cs="Tahoma"/>
          <w:sz w:val="24"/>
          <w:szCs w:val="24"/>
        </w:rPr>
        <w:t xml:space="preserve"> report provides some </w:t>
      </w:r>
      <w:r w:rsidR="00EE4536" w:rsidRPr="000E34C1">
        <w:rPr>
          <w:rFonts w:ascii="Tahoma" w:hAnsi="Tahoma" w:cs="Tahoma"/>
          <w:sz w:val="24"/>
          <w:szCs w:val="24"/>
        </w:rPr>
        <w:t>evidence that in fast moving property markets, a buy</w:t>
      </w:r>
      <w:r w:rsidR="00725CE1" w:rsidRPr="000E34C1">
        <w:rPr>
          <w:rFonts w:ascii="Tahoma" w:hAnsi="Tahoma" w:cs="Tahoma"/>
          <w:sz w:val="24"/>
          <w:szCs w:val="24"/>
        </w:rPr>
        <w:t xml:space="preserve">er may feel </w:t>
      </w:r>
      <w:r w:rsidR="00FF488C" w:rsidRPr="000E34C1">
        <w:rPr>
          <w:rFonts w:ascii="Tahoma" w:hAnsi="Tahoma" w:cs="Tahoma"/>
          <w:sz w:val="24"/>
          <w:szCs w:val="24"/>
        </w:rPr>
        <w:t>compelled</w:t>
      </w:r>
      <w:r w:rsidR="00EE4536" w:rsidRPr="000E34C1">
        <w:rPr>
          <w:rFonts w:ascii="Tahoma" w:hAnsi="Tahoma" w:cs="Tahoma"/>
          <w:sz w:val="24"/>
          <w:szCs w:val="24"/>
        </w:rPr>
        <w:t xml:space="preserve"> to sign </w:t>
      </w:r>
      <w:r w:rsidR="00725CE1" w:rsidRPr="000E34C1">
        <w:rPr>
          <w:rFonts w:ascii="Tahoma" w:hAnsi="Tahoma" w:cs="Tahoma"/>
          <w:sz w:val="24"/>
          <w:szCs w:val="24"/>
        </w:rPr>
        <w:t>u</w:t>
      </w:r>
      <w:r w:rsidR="00EC0803" w:rsidRPr="000E34C1">
        <w:rPr>
          <w:rFonts w:ascii="Tahoma" w:hAnsi="Tahoma" w:cs="Tahoma"/>
          <w:sz w:val="24"/>
          <w:szCs w:val="24"/>
        </w:rPr>
        <w:t xml:space="preserve">p to a district heating supply </w:t>
      </w:r>
      <w:r w:rsidR="00FF488C" w:rsidRPr="000E34C1">
        <w:rPr>
          <w:rFonts w:ascii="Tahoma" w:hAnsi="Tahoma" w:cs="Tahoma"/>
          <w:sz w:val="24"/>
          <w:szCs w:val="24"/>
        </w:rPr>
        <w:t>to secure a property before addressing any concerns.</w:t>
      </w:r>
      <w:r w:rsidR="009032BC" w:rsidRPr="000E34C1">
        <w:rPr>
          <w:rStyle w:val="FootnoteReference"/>
          <w:rFonts w:ascii="Tahoma" w:hAnsi="Tahoma" w:cs="Tahoma"/>
          <w:sz w:val="24"/>
          <w:szCs w:val="24"/>
        </w:rPr>
        <w:footnoteReference w:id="5"/>
      </w:r>
      <w:r w:rsidR="00725CE1" w:rsidRPr="000E34C1">
        <w:rPr>
          <w:rFonts w:ascii="Tahoma" w:hAnsi="Tahoma" w:cs="Tahoma"/>
          <w:sz w:val="24"/>
          <w:szCs w:val="24"/>
        </w:rPr>
        <w:t xml:space="preserve"> </w:t>
      </w:r>
      <w:r w:rsidR="00A82C7C">
        <w:rPr>
          <w:rFonts w:ascii="Tahoma" w:hAnsi="Tahoma" w:cs="Tahoma"/>
          <w:sz w:val="24"/>
          <w:szCs w:val="24"/>
        </w:rPr>
        <w:t xml:space="preserve">The </w:t>
      </w:r>
      <w:r w:rsidR="00446DE7" w:rsidRPr="000E34C1">
        <w:rPr>
          <w:rFonts w:ascii="Tahoma" w:hAnsi="Tahoma" w:cs="Tahoma"/>
          <w:sz w:val="24"/>
          <w:szCs w:val="24"/>
        </w:rPr>
        <w:t xml:space="preserve">Heat Trust’s Annual Report notes that </w:t>
      </w:r>
      <w:r w:rsidR="005A7079" w:rsidRPr="000E34C1">
        <w:rPr>
          <w:rFonts w:ascii="Tahoma" w:hAnsi="Tahoma" w:cs="Tahoma"/>
          <w:sz w:val="24"/>
          <w:szCs w:val="24"/>
        </w:rPr>
        <w:t xml:space="preserve">the gap in informing </w:t>
      </w:r>
      <w:r w:rsidR="00446DE7" w:rsidRPr="000E34C1">
        <w:rPr>
          <w:rFonts w:ascii="Tahoma" w:hAnsi="Tahoma" w:cs="Tahoma"/>
          <w:sz w:val="24"/>
          <w:szCs w:val="24"/>
        </w:rPr>
        <w:t xml:space="preserve">a </w:t>
      </w:r>
      <w:r w:rsidR="00725CE1" w:rsidRPr="000E34C1">
        <w:rPr>
          <w:rFonts w:ascii="Tahoma" w:hAnsi="Tahoma" w:cs="Tahoma"/>
          <w:sz w:val="24"/>
          <w:szCs w:val="24"/>
        </w:rPr>
        <w:t>customer t</w:t>
      </w:r>
      <w:r w:rsidR="00446DE7" w:rsidRPr="000E34C1">
        <w:rPr>
          <w:rFonts w:ascii="Tahoma" w:hAnsi="Tahoma" w:cs="Tahoma"/>
          <w:sz w:val="24"/>
          <w:szCs w:val="24"/>
        </w:rPr>
        <w:t xml:space="preserve">hat a heat network supplies their </w:t>
      </w:r>
      <w:r w:rsidR="00725CE1" w:rsidRPr="000E34C1">
        <w:rPr>
          <w:rFonts w:ascii="Tahoma" w:hAnsi="Tahoma" w:cs="Tahoma"/>
          <w:sz w:val="24"/>
          <w:szCs w:val="24"/>
        </w:rPr>
        <w:t>property appears to be more pr</w:t>
      </w:r>
      <w:r w:rsidR="00125864">
        <w:rPr>
          <w:rFonts w:ascii="Tahoma" w:hAnsi="Tahoma" w:cs="Tahoma"/>
          <w:sz w:val="24"/>
          <w:szCs w:val="24"/>
        </w:rPr>
        <w:t xml:space="preserve">evalent </w:t>
      </w:r>
      <w:r w:rsidR="00725CE1" w:rsidRPr="000E34C1">
        <w:rPr>
          <w:rFonts w:ascii="Tahoma" w:hAnsi="Tahoma" w:cs="Tahoma"/>
          <w:sz w:val="24"/>
          <w:szCs w:val="24"/>
        </w:rPr>
        <w:t xml:space="preserve">in the private rented sector. </w:t>
      </w:r>
      <w:r w:rsidR="009032BC" w:rsidRPr="000E34C1">
        <w:rPr>
          <w:rStyle w:val="FootnoteReference"/>
          <w:rFonts w:ascii="Tahoma" w:hAnsi="Tahoma" w:cs="Tahoma"/>
          <w:sz w:val="24"/>
          <w:szCs w:val="24"/>
        </w:rPr>
        <w:footnoteReference w:id="6"/>
      </w:r>
      <w:r w:rsidR="00446DE7" w:rsidRPr="000E34C1">
        <w:rPr>
          <w:rFonts w:ascii="Tahoma" w:hAnsi="Tahoma" w:cs="Tahoma"/>
          <w:sz w:val="24"/>
          <w:szCs w:val="24"/>
        </w:rPr>
        <w:t xml:space="preserve"> </w:t>
      </w:r>
      <w:r w:rsidR="00725CE1" w:rsidRPr="000E34C1">
        <w:rPr>
          <w:rFonts w:ascii="Tahoma" w:hAnsi="Tahoma" w:cs="Tahoma"/>
          <w:sz w:val="24"/>
          <w:szCs w:val="24"/>
        </w:rPr>
        <w:t xml:space="preserve">Consumers can only make informed decisions if they have access to the </w:t>
      </w:r>
      <w:r w:rsidR="00125864">
        <w:rPr>
          <w:rFonts w:ascii="Tahoma" w:hAnsi="Tahoma" w:cs="Tahoma"/>
          <w:sz w:val="24"/>
          <w:szCs w:val="24"/>
        </w:rPr>
        <w:t>relevant</w:t>
      </w:r>
      <w:r w:rsidR="00125864" w:rsidRPr="000E34C1">
        <w:rPr>
          <w:rFonts w:ascii="Tahoma" w:hAnsi="Tahoma" w:cs="Tahoma"/>
          <w:sz w:val="24"/>
          <w:szCs w:val="24"/>
        </w:rPr>
        <w:t xml:space="preserve"> </w:t>
      </w:r>
      <w:r w:rsidR="00944B78" w:rsidRPr="000E34C1">
        <w:rPr>
          <w:rFonts w:ascii="Tahoma" w:hAnsi="Tahoma" w:cs="Tahoma"/>
          <w:sz w:val="24"/>
          <w:szCs w:val="24"/>
        </w:rPr>
        <w:t>information</w:t>
      </w:r>
      <w:r w:rsidR="00125864">
        <w:rPr>
          <w:rFonts w:ascii="Tahoma" w:hAnsi="Tahoma" w:cs="Tahoma"/>
          <w:sz w:val="24"/>
          <w:szCs w:val="24"/>
        </w:rPr>
        <w:t>. T</w:t>
      </w:r>
      <w:r w:rsidR="00944B78" w:rsidRPr="000E34C1">
        <w:rPr>
          <w:rFonts w:ascii="Tahoma" w:hAnsi="Tahoma" w:cs="Tahoma"/>
          <w:sz w:val="24"/>
          <w:szCs w:val="24"/>
        </w:rPr>
        <w:t xml:space="preserve">his is particularly critical given lower levels of consumer awareness about </w:t>
      </w:r>
      <w:r w:rsidR="00446DE7" w:rsidRPr="000E34C1">
        <w:rPr>
          <w:rFonts w:ascii="Tahoma" w:hAnsi="Tahoma" w:cs="Tahoma"/>
          <w:sz w:val="24"/>
          <w:szCs w:val="24"/>
        </w:rPr>
        <w:t xml:space="preserve">what </w:t>
      </w:r>
      <w:r w:rsidR="00944B78" w:rsidRPr="000E34C1">
        <w:rPr>
          <w:rFonts w:ascii="Tahoma" w:hAnsi="Tahoma" w:cs="Tahoma"/>
          <w:sz w:val="24"/>
          <w:szCs w:val="24"/>
        </w:rPr>
        <w:t xml:space="preserve">heat networks </w:t>
      </w:r>
      <w:r w:rsidR="00446DE7" w:rsidRPr="000E34C1">
        <w:rPr>
          <w:rFonts w:ascii="Tahoma" w:hAnsi="Tahoma" w:cs="Tahoma"/>
          <w:sz w:val="24"/>
          <w:szCs w:val="24"/>
        </w:rPr>
        <w:t xml:space="preserve">are </w:t>
      </w:r>
      <w:r w:rsidR="00944B78" w:rsidRPr="000E34C1">
        <w:rPr>
          <w:rFonts w:ascii="Tahoma" w:hAnsi="Tahoma" w:cs="Tahoma"/>
          <w:sz w:val="24"/>
          <w:szCs w:val="24"/>
        </w:rPr>
        <w:t>and how they function.</w:t>
      </w:r>
    </w:p>
    <w:p w:rsidR="002719DE" w:rsidRPr="000E34C1" w:rsidRDefault="00F76DF3" w:rsidP="000E34C1">
      <w:pPr>
        <w:pStyle w:val="ListParagraph"/>
        <w:numPr>
          <w:ilvl w:val="0"/>
          <w:numId w:val="10"/>
        </w:numPr>
        <w:jc w:val="both"/>
        <w:rPr>
          <w:rFonts w:ascii="Tahoma" w:hAnsi="Tahoma" w:cs="Tahoma"/>
          <w:b/>
          <w:sz w:val="24"/>
          <w:szCs w:val="24"/>
        </w:rPr>
      </w:pPr>
      <w:r w:rsidRPr="000E34C1">
        <w:rPr>
          <w:rFonts w:ascii="Tahoma" w:hAnsi="Tahoma" w:cs="Tahoma"/>
          <w:b/>
          <w:sz w:val="24"/>
          <w:szCs w:val="24"/>
        </w:rPr>
        <w:t>To what extent is information on the costs of heat networks made clear to customers in bills?</w:t>
      </w:r>
    </w:p>
    <w:p w:rsidR="001F1F04" w:rsidRPr="000E34C1" w:rsidRDefault="00446DE7" w:rsidP="000E34C1">
      <w:pPr>
        <w:jc w:val="both"/>
        <w:rPr>
          <w:rFonts w:ascii="Tahoma" w:hAnsi="Tahoma" w:cs="Tahoma"/>
          <w:sz w:val="24"/>
          <w:szCs w:val="24"/>
        </w:rPr>
      </w:pPr>
      <w:r w:rsidRPr="000E34C1">
        <w:rPr>
          <w:rFonts w:ascii="Tahoma" w:hAnsi="Tahoma" w:cs="Tahoma"/>
          <w:sz w:val="24"/>
          <w:szCs w:val="24"/>
        </w:rPr>
        <w:t>Some r</w:t>
      </w:r>
      <w:r w:rsidR="001F1F04" w:rsidRPr="000E34C1">
        <w:rPr>
          <w:rFonts w:ascii="Tahoma" w:hAnsi="Tahoma" w:cs="Tahoma"/>
          <w:sz w:val="24"/>
          <w:szCs w:val="24"/>
        </w:rPr>
        <w:t>egulations exist around billing, namely through the Heat Network (Metering and Billing) Regulations 2014, which require suppliers to provide separate heat bills</w:t>
      </w:r>
      <w:r w:rsidR="00125864">
        <w:rPr>
          <w:rFonts w:ascii="Tahoma" w:hAnsi="Tahoma" w:cs="Tahoma"/>
          <w:sz w:val="24"/>
          <w:szCs w:val="24"/>
        </w:rPr>
        <w:t>. T</w:t>
      </w:r>
      <w:r w:rsidR="001F1F04" w:rsidRPr="000E34C1">
        <w:rPr>
          <w:rFonts w:ascii="Tahoma" w:hAnsi="Tahoma" w:cs="Tahoma"/>
          <w:sz w:val="24"/>
          <w:szCs w:val="24"/>
        </w:rPr>
        <w:t>he Heat Trust also provides guidance around billing to its members.</w:t>
      </w:r>
      <w:r w:rsidR="009032BC" w:rsidRPr="000E34C1">
        <w:rPr>
          <w:rStyle w:val="FootnoteReference"/>
          <w:rFonts w:ascii="Tahoma" w:hAnsi="Tahoma" w:cs="Tahoma"/>
          <w:sz w:val="24"/>
          <w:szCs w:val="24"/>
        </w:rPr>
        <w:footnoteReference w:id="7"/>
      </w:r>
    </w:p>
    <w:p w:rsidR="000B0668" w:rsidRDefault="001F1F04" w:rsidP="000E34C1">
      <w:pPr>
        <w:jc w:val="both"/>
        <w:rPr>
          <w:rFonts w:ascii="Tahoma" w:hAnsi="Tahoma" w:cs="Tahoma"/>
          <w:sz w:val="24"/>
          <w:szCs w:val="24"/>
        </w:rPr>
      </w:pPr>
      <w:r w:rsidRPr="000E34C1">
        <w:rPr>
          <w:rFonts w:ascii="Tahoma" w:hAnsi="Tahoma" w:cs="Tahoma"/>
          <w:sz w:val="24"/>
          <w:szCs w:val="24"/>
        </w:rPr>
        <w:t>However,</w:t>
      </w:r>
      <w:r w:rsidR="00C762C2" w:rsidRPr="000E34C1">
        <w:rPr>
          <w:rFonts w:ascii="Tahoma" w:hAnsi="Tahoma" w:cs="Tahoma"/>
          <w:sz w:val="24"/>
          <w:szCs w:val="24"/>
        </w:rPr>
        <w:t xml:space="preserve"> consumer experience of billing is not consistent across heat network schemes, with a range of approaches to billing residents. </w:t>
      </w:r>
      <w:r w:rsidR="00B24A06" w:rsidRPr="000E34C1">
        <w:rPr>
          <w:rFonts w:ascii="Tahoma" w:hAnsi="Tahoma" w:cs="Tahoma"/>
          <w:sz w:val="24"/>
          <w:szCs w:val="24"/>
        </w:rPr>
        <w:t xml:space="preserve">Our research suggests issues </w:t>
      </w:r>
      <w:r w:rsidR="00215946">
        <w:rPr>
          <w:rFonts w:ascii="Tahoma" w:hAnsi="Tahoma" w:cs="Tahoma"/>
          <w:sz w:val="24"/>
          <w:szCs w:val="24"/>
        </w:rPr>
        <w:t>with</w:t>
      </w:r>
      <w:r w:rsidR="00B24A06" w:rsidRPr="000E34C1">
        <w:rPr>
          <w:rFonts w:ascii="Tahoma" w:hAnsi="Tahoma" w:cs="Tahoma"/>
          <w:sz w:val="24"/>
          <w:szCs w:val="24"/>
        </w:rPr>
        <w:t xml:space="preserve">: </w:t>
      </w:r>
    </w:p>
    <w:p w:rsidR="000B0668" w:rsidRDefault="00B24A06" w:rsidP="007D7D6E">
      <w:pPr>
        <w:pStyle w:val="ListParagraph"/>
        <w:numPr>
          <w:ilvl w:val="0"/>
          <w:numId w:val="11"/>
        </w:numPr>
        <w:jc w:val="both"/>
        <w:rPr>
          <w:rFonts w:ascii="Tahoma" w:hAnsi="Tahoma" w:cs="Tahoma"/>
          <w:sz w:val="24"/>
          <w:szCs w:val="24"/>
        </w:rPr>
      </w:pPr>
      <w:r w:rsidRPr="00003290">
        <w:rPr>
          <w:rFonts w:ascii="Tahoma" w:hAnsi="Tahoma" w:cs="Tahoma"/>
          <w:sz w:val="24"/>
          <w:szCs w:val="24"/>
        </w:rPr>
        <w:t xml:space="preserve">how price rises are communicated; </w:t>
      </w:r>
    </w:p>
    <w:p w:rsidR="000B0668" w:rsidRDefault="00B24A06" w:rsidP="007D7D6E">
      <w:pPr>
        <w:pStyle w:val="ListParagraph"/>
        <w:numPr>
          <w:ilvl w:val="0"/>
          <w:numId w:val="11"/>
        </w:numPr>
        <w:jc w:val="both"/>
        <w:rPr>
          <w:rFonts w:ascii="Tahoma" w:hAnsi="Tahoma" w:cs="Tahoma"/>
          <w:sz w:val="24"/>
          <w:szCs w:val="24"/>
        </w:rPr>
      </w:pPr>
      <w:r w:rsidRPr="00003290">
        <w:rPr>
          <w:rFonts w:ascii="Tahoma" w:hAnsi="Tahoma" w:cs="Tahoma"/>
          <w:sz w:val="24"/>
          <w:szCs w:val="24"/>
        </w:rPr>
        <w:t xml:space="preserve">payment options; </w:t>
      </w:r>
    </w:p>
    <w:p w:rsidR="000B0668" w:rsidRDefault="00B24A06" w:rsidP="007D7D6E">
      <w:pPr>
        <w:pStyle w:val="ListParagraph"/>
        <w:numPr>
          <w:ilvl w:val="0"/>
          <w:numId w:val="11"/>
        </w:numPr>
        <w:jc w:val="both"/>
        <w:rPr>
          <w:rFonts w:ascii="Tahoma" w:hAnsi="Tahoma" w:cs="Tahoma"/>
          <w:sz w:val="24"/>
          <w:szCs w:val="24"/>
        </w:rPr>
      </w:pPr>
      <w:r w:rsidRPr="00003290">
        <w:rPr>
          <w:rFonts w:ascii="Tahoma" w:hAnsi="Tahoma" w:cs="Tahoma"/>
          <w:sz w:val="24"/>
          <w:szCs w:val="24"/>
        </w:rPr>
        <w:t>price comparison</w:t>
      </w:r>
      <w:r w:rsidR="00446DE7" w:rsidRPr="00003290">
        <w:rPr>
          <w:rFonts w:ascii="Tahoma" w:hAnsi="Tahoma" w:cs="Tahoma"/>
          <w:sz w:val="24"/>
          <w:szCs w:val="24"/>
        </w:rPr>
        <w:t xml:space="preserve"> and knowledge of prices</w:t>
      </w:r>
      <w:r w:rsidRPr="00003290">
        <w:rPr>
          <w:rFonts w:ascii="Tahoma" w:hAnsi="Tahoma" w:cs="Tahoma"/>
          <w:sz w:val="24"/>
          <w:szCs w:val="24"/>
        </w:rPr>
        <w:t>;</w:t>
      </w:r>
      <w:r w:rsidR="00446DE7" w:rsidRPr="00003290">
        <w:rPr>
          <w:rFonts w:ascii="Tahoma" w:hAnsi="Tahoma" w:cs="Tahoma"/>
          <w:sz w:val="24"/>
          <w:szCs w:val="24"/>
        </w:rPr>
        <w:t xml:space="preserve"> </w:t>
      </w:r>
    </w:p>
    <w:p w:rsidR="000B0668" w:rsidRDefault="00446DE7" w:rsidP="007D7D6E">
      <w:pPr>
        <w:pStyle w:val="ListParagraph"/>
        <w:numPr>
          <w:ilvl w:val="0"/>
          <w:numId w:val="11"/>
        </w:numPr>
        <w:jc w:val="both"/>
        <w:rPr>
          <w:rFonts w:ascii="Tahoma" w:hAnsi="Tahoma" w:cs="Tahoma"/>
          <w:sz w:val="24"/>
          <w:szCs w:val="24"/>
        </w:rPr>
      </w:pPr>
      <w:r w:rsidRPr="00003290">
        <w:rPr>
          <w:rFonts w:ascii="Tahoma" w:hAnsi="Tahoma" w:cs="Tahoma"/>
          <w:sz w:val="24"/>
          <w:szCs w:val="24"/>
        </w:rPr>
        <w:t>information provision</w:t>
      </w:r>
      <w:r w:rsidR="00B24A06" w:rsidRPr="00003290">
        <w:rPr>
          <w:rFonts w:ascii="Tahoma" w:hAnsi="Tahoma" w:cs="Tahoma"/>
          <w:sz w:val="24"/>
          <w:szCs w:val="24"/>
        </w:rPr>
        <w:t xml:space="preserve">; </w:t>
      </w:r>
    </w:p>
    <w:p w:rsidR="000B0668" w:rsidRDefault="002A5ABB" w:rsidP="007D7D6E">
      <w:pPr>
        <w:pStyle w:val="ListParagraph"/>
        <w:numPr>
          <w:ilvl w:val="0"/>
          <w:numId w:val="11"/>
        </w:numPr>
        <w:jc w:val="both"/>
        <w:rPr>
          <w:rFonts w:ascii="Tahoma" w:hAnsi="Tahoma" w:cs="Tahoma"/>
          <w:sz w:val="24"/>
          <w:szCs w:val="24"/>
        </w:rPr>
      </w:pPr>
      <w:r w:rsidRPr="00003290">
        <w:rPr>
          <w:rFonts w:ascii="Tahoma" w:hAnsi="Tahoma" w:cs="Tahoma"/>
          <w:sz w:val="24"/>
          <w:szCs w:val="24"/>
        </w:rPr>
        <w:t xml:space="preserve">regularity of billing; </w:t>
      </w:r>
    </w:p>
    <w:p w:rsidR="000B0668" w:rsidRDefault="002A5ABB" w:rsidP="007D7D6E">
      <w:pPr>
        <w:pStyle w:val="ListParagraph"/>
        <w:numPr>
          <w:ilvl w:val="0"/>
          <w:numId w:val="11"/>
        </w:numPr>
        <w:jc w:val="both"/>
        <w:rPr>
          <w:rFonts w:ascii="Tahoma" w:hAnsi="Tahoma" w:cs="Tahoma"/>
          <w:sz w:val="24"/>
          <w:szCs w:val="24"/>
        </w:rPr>
      </w:pPr>
      <w:proofErr w:type="spellStart"/>
      <w:proofErr w:type="gramStart"/>
      <w:r w:rsidRPr="00003290">
        <w:rPr>
          <w:rFonts w:ascii="Tahoma" w:hAnsi="Tahoma" w:cs="Tahoma"/>
          <w:sz w:val="24"/>
          <w:szCs w:val="24"/>
        </w:rPr>
        <w:t>backbilling</w:t>
      </w:r>
      <w:proofErr w:type="spellEnd"/>
      <w:proofErr w:type="gramEnd"/>
      <w:r w:rsidRPr="00003290">
        <w:rPr>
          <w:rFonts w:ascii="Tahoma" w:hAnsi="Tahoma" w:cs="Tahoma"/>
          <w:sz w:val="24"/>
          <w:szCs w:val="24"/>
        </w:rPr>
        <w:t>.</w:t>
      </w:r>
      <w:r w:rsidR="00EE1F51" w:rsidRPr="000E34C1">
        <w:rPr>
          <w:rStyle w:val="FootnoteReference"/>
          <w:rFonts w:ascii="Tahoma" w:hAnsi="Tahoma" w:cs="Tahoma"/>
          <w:sz w:val="24"/>
          <w:szCs w:val="24"/>
        </w:rPr>
        <w:footnoteReference w:id="8"/>
      </w:r>
      <w:r w:rsidR="006145F8" w:rsidRPr="00003290">
        <w:rPr>
          <w:rFonts w:ascii="Tahoma" w:hAnsi="Tahoma" w:cs="Tahoma"/>
          <w:sz w:val="24"/>
          <w:szCs w:val="24"/>
        </w:rPr>
        <w:t xml:space="preserve"> </w:t>
      </w:r>
    </w:p>
    <w:p w:rsidR="00B24A06" w:rsidRPr="00003290" w:rsidRDefault="005E01CF" w:rsidP="000B0668">
      <w:pPr>
        <w:jc w:val="both"/>
        <w:rPr>
          <w:rFonts w:ascii="Tahoma" w:hAnsi="Tahoma" w:cs="Tahoma"/>
          <w:sz w:val="24"/>
          <w:szCs w:val="24"/>
        </w:rPr>
      </w:pPr>
      <w:r w:rsidRPr="00003290">
        <w:rPr>
          <w:rFonts w:ascii="Tahoma" w:hAnsi="Tahoma" w:cs="Tahoma"/>
          <w:sz w:val="24"/>
          <w:szCs w:val="24"/>
        </w:rPr>
        <w:t>In Citizen</w:t>
      </w:r>
      <w:r w:rsidR="004E0A95" w:rsidRPr="00003290">
        <w:rPr>
          <w:rFonts w:ascii="Tahoma" w:hAnsi="Tahoma" w:cs="Tahoma"/>
          <w:sz w:val="24"/>
          <w:szCs w:val="24"/>
        </w:rPr>
        <w:t>s Advice</w:t>
      </w:r>
      <w:r w:rsidRPr="00003290">
        <w:rPr>
          <w:rFonts w:ascii="Tahoma" w:hAnsi="Tahoma" w:cs="Tahoma"/>
          <w:sz w:val="24"/>
          <w:szCs w:val="24"/>
        </w:rPr>
        <w:t>’s</w:t>
      </w:r>
      <w:r w:rsidR="004E0A95" w:rsidRPr="00003290">
        <w:rPr>
          <w:rFonts w:ascii="Tahoma" w:hAnsi="Tahoma" w:cs="Tahoma"/>
          <w:sz w:val="24"/>
          <w:szCs w:val="24"/>
        </w:rPr>
        <w:t xml:space="preserve"> 2016 information request to local authorities in England, Wales and Scotland, it was found that only 38% of schemes shared with customers how their bill was calculated</w:t>
      </w:r>
      <w:r w:rsidRPr="00003290">
        <w:rPr>
          <w:rFonts w:ascii="Tahoma" w:hAnsi="Tahoma" w:cs="Tahoma"/>
          <w:sz w:val="24"/>
          <w:szCs w:val="24"/>
        </w:rPr>
        <w:t>, reinforcing the need to explore billing transparency</w:t>
      </w:r>
      <w:r w:rsidR="004E0A95" w:rsidRPr="00003290">
        <w:rPr>
          <w:rFonts w:ascii="Tahoma" w:hAnsi="Tahoma" w:cs="Tahoma"/>
          <w:sz w:val="24"/>
          <w:szCs w:val="24"/>
        </w:rPr>
        <w:t>.</w:t>
      </w:r>
      <w:r w:rsidRPr="00003290">
        <w:rPr>
          <w:rFonts w:ascii="Tahoma" w:hAnsi="Tahoma" w:cs="Tahoma"/>
          <w:sz w:val="24"/>
          <w:szCs w:val="24"/>
        </w:rPr>
        <w:t xml:space="preserve"> </w:t>
      </w:r>
      <w:r>
        <w:rPr>
          <w:rStyle w:val="FootnoteReference"/>
          <w:rFonts w:ascii="Tahoma" w:hAnsi="Tahoma" w:cs="Tahoma"/>
          <w:sz w:val="24"/>
          <w:szCs w:val="24"/>
        </w:rPr>
        <w:footnoteReference w:id="9"/>
      </w:r>
      <w:r w:rsidRPr="00003290">
        <w:rPr>
          <w:rFonts w:ascii="Tahoma" w:hAnsi="Tahoma" w:cs="Tahoma"/>
          <w:sz w:val="24"/>
          <w:szCs w:val="24"/>
        </w:rPr>
        <w:t xml:space="preserve"> </w:t>
      </w:r>
      <w:r w:rsidR="006145F8" w:rsidRPr="00003290">
        <w:rPr>
          <w:rFonts w:ascii="Tahoma" w:hAnsi="Tahoma" w:cs="Tahoma"/>
          <w:sz w:val="24"/>
          <w:szCs w:val="24"/>
        </w:rPr>
        <w:t>While legislation exists, without a regulator to ensure that suppliers adhere to legal requirements consumers can have limited access to redress.</w:t>
      </w:r>
    </w:p>
    <w:p w:rsidR="00756B6A" w:rsidRDefault="008B297B" w:rsidP="000E34C1">
      <w:pPr>
        <w:jc w:val="both"/>
        <w:rPr>
          <w:rFonts w:ascii="Tahoma" w:hAnsi="Tahoma" w:cs="Tahoma"/>
          <w:sz w:val="24"/>
          <w:szCs w:val="24"/>
        </w:rPr>
      </w:pPr>
      <w:r>
        <w:rPr>
          <w:rFonts w:ascii="Tahoma" w:hAnsi="Tahoma" w:cs="Tahoma"/>
          <w:sz w:val="24"/>
          <w:szCs w:val="24"/>
        </w:rPr>
        <w:t>In the regulated gas and electricit</w:t>
      </w:r>
      <w:r w:rsidR="00AB58E3">
        <w:rPr>
          <w:rFonts w:ascii="Tahoma" w:hAnsi="Tahoma" w:cs="Tahoma"/>
          <w:sz w:val="24"/>
          <w:szCs w:val="24"/>
        </w:rPr>
        <w:t>y markets prices are published, so consumers should, comparatively speaking, be able to see if their price is ‘fair’ before entering a contract.</w:t>
      </w:r>
      <w:r w:rsidR="008E5429">
        <w:rPr>
          <w:rFonts w:ascii="Tahoma" w:hAnsi="Tahoma" w:cs="Tahoma"/>
          <w:sz w:val="24"/>
          <w:szCs w:val="24"/>
        </w:rPr>
        <w:t xml:space="preserve"> </w:t>
      </w:r>
      <w:r w:rsidR="000151B4">
        <w:rPr>
          <w:rFonts w:ascii="Tahoma" w:hAnsi="Tahoma" w:cs="Tahoma"/>
          <w:sz w:val="24"/>
          <w:szCs w:val="24"/>
        </w:rPr>
        <w:t>Furthermore, g</w:t>
      </w:r>
      <w:r w:rsidR="008E5429">
        <w:rPr>
          <w:rFonts w:ascii="Tahoma" w:hAnsi="Tahoma" w:cs="Tahoma"/>
          <w:sz w:val="24"/>
          <w:szCs w:val="24"/>
        </w:rPr>
        <w:t>as and electricity suppliers must also give 30 days’ notice before a</w:t>
      </w:r>
      <w:r w:rsidR="000151B4">
        <w:rPr>
          <w:rFonts w:ascii="Tahoma" w:hAnsi="Tahoma" w:cs="Tahoma"/>
          <w:sz w:val="24"/>
          <w:szCs w:val="24"/>
        </w:rPr>
        <w:t xml:space="preserve"> price increase.</w:t>
      </w:r>
      <w:r w:rsidR="008E5429">
        <w:rPr>
          <w:rFonts w:ascii="Tahoma" w:hAnsi="Tahoma" w:cs="Tahoma"/>
          <w:sz w:val="24"/>
          <w:szCs w:val="24"/>
        </w:rPr>
        <w:t xml:space="preserve"> </w:t>
      </w:r>
      <w:r w:rsidR="0042417D">
        <w:rPr>
          <w:rStyle w:val="FootnoteReference"/>
          <w:rFonts w:ascii="Tahoma" w:hAnsi="Tahoma" w:cs="Tahoma"/>
          <w:sz w:val="24"/>
          <w:szCs w:val="24"/>
        </w:rPr>
        <w:footnoteReference w:id="10"/>
      </w:r>
      <w:r w:rsidR="008E5429">
        <w:rPr>
          <w:rFonts w:ascii="Tahoma" w:hAnsi="Tahoma" w:cs="Tahoma"/>
          <w:sz w:val="24"/>
          <w:szCs w:val="24"/>
        </w:rPr>
        <w:t xml:space="preserve"> </w:t>
      </w:r>
      <w:r w:rsidR="00AB58E3">
        <w:rPr>
          <w:rFonts w:ascii="Tahoma" w:hAnsi="Tahoma" w:cs="Tahoma"/>
          <w:sz w:val="24"/>
          <w:szCs w:val="24"/>
        </w:rPr>
        <w:t xml:space="preserve"> In contrast, district heating schemes are not mandated to provide similar levels of information. While many schemes will provide full pricing data, this is not guaranteed, so some consumers may not be able to discover whether prices are reasonable before entering </w:t>
      </w:r>
      <w:r w:rsidR="0049311D">
        <w:rPr>
          <w:rFonts w:ascii="Tahoma" w:hAnsi="Tahoma" w:cs="Tahoma"/>
          <w:sz w:val="24"/>
          <w:szCs w:val="24"/>
        </w:rPr>
        <w:t>into a contract.</w:t>
      </w:r>
      <w:r w:rsidR="0049311D" w:rsidRPr="0049311D">
        <w:rPr>
          <w:rFonts w:ascii="Tahoma" w:hAnsi="Tahoma" w:cs="Tahoma"/>
          <w:sz w:val="24"/>
          <w:szCs w:val="24"/>
        </w:rPr>
        <w:t xml:space="preserve"> </w:t>
      </w:r>
      <w:r w:rsidR="0049311D">
        <w:rPr>
          <w:rFonts w:ascii="Tahoma" w:hAnsi="Tahoma" w:cs="Tahoma"/>
          <w:sz w:val="24"/>
          <w:szCs w:val="24"/>
        </w:rPr>
        <w:t xml:space="preserve">For those who do know their annual heat bill, the </w:t>
      </w:r>
      <w:r w:rsidR="0049311D" w:rsidRPr="0049311D">
        <w:rPr>
          <w:rFonts w:ascii="Tahoma" w:hAnsi="Tahoma" w:cs="Tahoma"/>
          <w:sz w:val="24"/>
          <w:szCs w:val="24"/>
        </w:rPr>
        <w:t xml:space="preserve">Heat Trust’s </w:t>
      </w:r>
      <w:r w:rsidR="0049311D">
        <w:rPr>
          <w:rFonts w:ascii="Tahoma" w:hAnsi="Tahoma" w:cs="Tahoma"/>
          <w:sz w:val="24"/>
          <w:szCs w:val="24"/>
        </w:rPr>
        <w:lastRenderedPageBreak/>
        <w:t xml:space="preserve">Heat Cost Calculator helps to provide some indicative comparison between district heating and modern gas boiler </w:t>
      </w:r>
      <w:r w:rsidR="00E00967">
        <w:rPr>
          <w:rFonts w:ascii="Tahoma" w:hAnsi="Tahoma" w:cs="Tahoma"/>
          <w:sz w:val="24"/>
          <w:szCs w:val="24"/>
        </w:rPr>
        <w:t>costs.</w:t>
      </w:r>
    </w:p>
    <w:p w:rsidR="007D7D6E" w:rsidRDefault="00446DE7" w:rsidP="000E34C1">
      <w:pPr>
        <w:jc w:val="both"/>
        <w:rPr>
          <w:rFonts w:ascii="Tahoma" w:hAnsi="Tahoma" w:cs="Tahoma"/>
          <w:sz w:val="24"/>
          <w:szCs w:val="24"/>
        </w:rPr>
      </w:pPr>
      <w:r w:rsidRPr="000E34C1">
        <w:rPr>
          <w:rFonts w:ascii="Tahoma" w:hAnsi="Tahoma" w:cs="Tahoma"/>
          <w:sz w:val="24"/>
          <w:szCs w:val="24"/>
        </w:rPr>
        <w:t>Our research</w:t>
      </w:r>
      <w:r w:rsidR="00E50923" w:rsidRPr="000E34C1">
        <w:rPr>
          <w:rFonts w:ascii="Tahoma" w:hAnsi="Tahoma" w:cs="Tahoma"/>
          <w:sz w:val="24"/>
          <w:szCs w:val="24"/>
        </w:rPr>
        <w:t xml:space="preserve"> suggests that changes to tariffs are not always well communicated. For example, </w:t>
      </w:r>
      <w:r w:rsidR="001D0A68">
        <w:rPr>
          <w:rFonts w:ascii="Tahoma" w:hAnsi="Tahoma" w:cs="Tahoma"/>
          <w:sz w:val="24"/>
          <w:szCs w:val="24"/>
        </w:rPr>
        <w:t xml:space="preserve">in one case </w:t>
      </w:r>
      <w:r w:rsidR="00E50923" w:rsidRPr="000E34C1">
        <w:rPr>
          <w:rFonts w:ascii="Tahoma" w:hAnsi="Tahoma" w:cs="Tahoma"/>
          <w:sz w:val="24"/>
          <w:szCs w:val="24"/>
        </w:rPr>
        <w:t xml:space="preserve">local authority tenants </w:t>
      </w:r>
      <w:r w:rsidR="00CB4C86" w:rsidRPr="000E34C1">
        <w:rPr>
          <w:rFonts w:ascii="Tahoma" w:hAnsi="Tahoma" w:cs="Tahoma"/>
          <w:sz w:val="24"/>
          <w:szCs w:val="24"/>
        </w:rPr>
        <w:t xml:space="preserve">were informed of a tariff increase </w:t>
      </w:r>
      <w:r w:rsidR="00E50923" w:rsidRPr="000E34C1">
        <w:rPr>
          <w:rFonts w:ascii="Tahoma" w:hAnsi="Tahoma" w:cs="Tahoma"/>
          <w:sz w:val="24"/>
          <w:szCs w:val="24"/>
        </w:rPr>
        <w:t>but a private resident was not advised.</w:t>
      </w:r>
      <w:r w:rsidR="004008E0" w:rsidRPr="000E34C1">
        <w:rPr>
          <w:rStyle w:val="FootnoteReference"/>
          <w:rFonts w:ascii="Tahoma" w:hAnsi="Tahoma" w:cs="Tahoma"/>
          <w:sz w:val="24"/>
          <w:szCs w:val="24"/>
        </w:rPr>
        <w:footnoteReference w:id="11"/>
      </w:r>
      <w:r w:rsidR="00E50923" w:rsidRPr="000E34C1">
        <w:rPr>
          <w:rFonts w:ascii="Tahoma" w:hAnsi="Tahoma" w:cs="Tahoma"/>
          <w:sz w:val="24"/>
          <w:szCs w:val="24"/>
        </w:rPr>
        <w:t xml:space="preserve"> While some consumers appreciate the predictability of fixed fees, others </w:t>
      </w:r>
      <w:r w:rsidR="00CB4C86" w:rsidRPr="000E34C1">
        <w:rPr>
          <w:rFonts w:ascii="Tahoma" w:hAnsi="Tahoma" w:cs="Tahoma"/>
          <w:sz w:val="24"/>
          <w:szCs w:val="24"/>
        </w:rPr>
        <w:t xml:space="preserve">feel </w:t>
      </w:r>
      <w:r w:rsidR="00E50923" w:rsidRPr="000E34C1">
        <w:rPr>
          <w:rFonts w:ascii="Tahoma" w:hAnsi="Tahoma" w:cs="Tahoma"/>
          <w:sz w:val="24"/>
          <w:szCs w:val="24"/>
        </w:rPr>
        <w:t xml:space="preserve">standing charges </w:t>
      </w:r>
      <w:r w:rsidR="00CB4C86" w:rsidRPr="000E34C1">
        <w:rPr>
          <w:rFonts w:ascii="Tahoma" w:hAnsi="Tahoma" w:cs="Tahoma"/>
          <w:sz w:val="24"/>
          <w:szCs w:val="24"/>
        </w:rPr>
        <w:t xml:space="preserve">subsidise high users and </w:t>
      </w:r>
      <w:proofErr w:type="spellStart"/>
      <w:r w:rsidR="00CB4C86" w:rsidRPr="000E34C1">
        <w:rPr>
          <w:rFonts w:ascii="Tahoma" w:hAnsi="Tahoma" w:cs="Tahoma"/>
          <w:sz w:val="24"/>
          <w:szCs w:val="24"/>
        </w:rPr>
        <w:t>disincentivise</w:t>
      </w:r>
      <w:proofErr w:type="spellEnd"/>
      <w:r w:rsidR="00CB4C86" w:rsidRPr="000E34C1">
        <w:rPr>
          <w:rFonts w:ascii="Tahoma" w:hAnsi="Tahoma" w:cs="Tahoma"/>
          <w:sz w:val="24"/>
          <w:szCs w:val="24"/>
        </w:rPr>
        <w:t xml:space="preserve"> </w:t>
      </w:r>
      <w:r w:rsidR="00E50923" w:rsidRPr="000E34C1">
        <w:rPr>
          <w:rFonts w:ascii="Tahoma" w:hAnsi="Tahoma" w:cs="Tahoma"/>
          <w:sz w:val="24"/>
          <w:szCs w:val="24"/>
        </w:rPr>
        <w:t>energy saving.</w:t>
      </w:r>
      <w:r w:rsidR="003E5F68" w:rsidRPr="000E34C1">
        <w:rPr>
          <w:rStyle w:val="FootnoteReference"/>
          <w:rFonts w:ascii="Tahoma" w:hAnsi="Tahoma" w:cs="Tahoma"/>
          <w:sz w:val="24"/>
          <w:szCs w:val="24"/>
        </w:rPr>
        <w:footnoteReference w:id="12"/>
      </w:r>
      <w:r w:rsidR="00E50923" w:rsidRPr="000E34C1">
        <w:rPr>
          <w:rFonts w:ascii="Tahoma" w:hAnsi="Tahoma" w:cs="Tahoma"/>
          <w:sz w:val="24"/>
          <w:szCs w:val="24"/>
        </w:rPr>
        <w:t xml:space="preserve"> </w:t>
      </w:r>
      <w:r w:rsidR="00B15CDC">
        <w:rPr>
          <w:rFonts w:ascii="Tahoma" w:hAnsi="Tahoma" w:cs="Tahoma"/>
          <w:sz w:val="24"/>
          <w:szCs w:val="24"/>
        </w:rPr>
        <w:t>P</w:t>
      </w:r>
      <w:r w:rsidR="008F16F5" w:rsidRPr="000E34C1">
        <w:rPr>
          <w:rFonts w:ascii="Tahoma" w:hAnsi="Tahoma" w:cs="Tahoma"/>
          <w:sz w:val="24"/>
          <w:szCs w:val="24"/>
        </w:rPr>
        <w:t xml:space="preserve">repayment meters </w:t>
      </w:r>
      <w:r w:rsidR="00B15CDC">
        <w:rPr>
          <w:rFonts w:ascii="Tahoma" w:hAnsi="Tahoma" w:cs="Tahoma"/>
          <w:sz w:val="24"/>
          <w:szCs w:val="24"/>
        </w:rPr>
        <w:t xml:space="preserve">appear to be a factor in making it </w:t>
      </w:r>
      <w:r w:rsidR="008F16F5" w:rsidRPr="000E34C1">
        <w:rPr>
          <w:rFonts w:ascii="Tahoma" w:hAnsi="Tahoma" w:cs="Tahoma"/>
          <w:sz w:val="24"/>
          <w:szCs w:val="24"/>
        </w:rPr>
        <w:t>harder to understand costs</w:t>
      </w:r>
      <w:r w:rsidR="001755D8">
        <w:rPr>
          <w:rFonts w:ascii="Tahoma" w:hAnsi="Tahoma" w:cs="Tahoma"/>
          <w:sz w:val="24"/>
          <w:szCs w:val="24"/>
        </w:rPr>
        <w:t>, including unit price, whether tariffs include standing charges, where to get information and how charges are broken down.</w:t>
      </w:r>
      <w:r w:rsidR="001755D8">
        <w:rPr>
          <w:rStyle w:val="FootnoteReference"/>
          <w:rFonts w:ascii="Tahoma" w:hAnsi="Tahoma" w:cs="Tahoma"/>
          <w:sz w:val="24"/>
          <w:szCs w:val="24"/>
        </w:rPr>
        <w:footnoteReference w:id="13"/>
      </w:r>
      <w:r w:rsidR="001755D8">
        <w:rPr>
          <w:rFonts w:ascii="Tahoma" w:hAnsi="Tahoma" w:cs="Tahoma"/>
          <w:sz w:val="24"/>
          <w:szCs w:val="24"/>
        </w:rPr>
        <w:t xml:space="preserve"> Overall, the lack of accessible information adds to challenges for district heating consumers.  </w:t>
      </w:r>
    </w:p>
    <w:p w:rsidR="008F16F5" w:rsidRPr="000E34C1" w:rsidRDefault="008F16F5" w:rsidP="000E34C1">
      <w:pPr>
        <w:jc w:val="both"/>
        <w:rPr>
          <w:rFonts w:ascii="Tahoma" w:hAnsi="Tahoma" w:cs="Tahoma"/>
          <w:sz w:val="24"/>
          <w:szCs w:val="24"/>
        </w:rPr>
      </w:pPr>
    </w:p>
    <w:p w:rsidR="00FB3866" w:rsidRPr="000E34C1" w:rsidRDefault="00FB3866" w:rsidP="000E34C1">
      <w:pPr>
        <w:pStyle w:val="ListParagraph"/>
        <w:numPr>
          <w:ilvl w:val="0"/>
          <w:numId w:val="10"/>
        </w:numPr>
        <w:jc w:val="both"/>
        <w:rPr>
          <w:rFonts w:ascii="Tahoma" w:hAnsi="Tahoma" w:cs="Tahoma"/>
          <w:b/>
          <w:sz w:val="24"/>
          <w:szCs w:val="24"/>
        </w:rPr>
      </w:pPr>
      <w:r w:rsidRPr="000E34C1">
        <w:rPr>
          <w:rFonts w:ascii="Tahoma" w:hAnsi="Tahoma" w:cs="Tahoma"/>
          <w:b/>
          <w:sz w:val="24"/>
          <w:szCs w:val="24"/>
        </w:rPr>
        <w:t xml:space="preserve">Do you have views on our proposed approach to data collection and analysis? </w:t>
      </w:r>
    </w:p>
    <w:p w:rsidR="006F71F1" w:rsidRPr="000E34C1" w:rsidRDefault="008F16F5" w:rsidP="000E34C1">
      <w:pPr>
        <w:jc w:val="both"/>
        <w:rPr>
          <w:rFonts w:ascii="Tahoma" w:hAnsi="Tahoma" w:cs="Tahoma"/>
          <w:sz w:val="24"/>
          <w:szCs w:val="24"/>
        </w:rPr>
      </w:pPr>
      <w:r w:rsidRPr="000E34C1">
        <w:rPr>
          <w:rFonts w:ascii="Tahoma" w:hAnsi="Tahoma" w:cs="Tahoma"/>
          <w:sz w:val="24"/>
          <w:szCs w:val="24"/>
        </w:rPr>
        <w:t xml:space="preserve">It is welcome that the statement of scope </w:t>
      </w:r>
      <w:r w:rsidR="00901BA1" w:rsidRPr="000E34C1">
        <w:rPr>
          <w:rFonts w:ascii="Tahoma" w:hAnsi="Tahoma" w:cs="Tahoma"/>
          <w:sz w:val="24"/>
          <w:szCs w:val="24"/>
        </w:rPr>
        <w:t>noted the devolved nature of district heating</w:t>
      </w:r>
      <w:r w:rsidR="003A04A1">
        <w:rPr>
          <w:rFonts w:ascii="Tahoma" w:hAnsi="Tahoma" w:cs="Tahoma"/>
          <w:sz w:val="24"/>
          <w:szCs w:val="24"/>
        </w:rPr>
        <w:t xml:space="preserve">. The CMA’s </w:t>
      </w:r>
      <w:r w:rsidR="00901BA1" w:rsidRPr="000E34C1">
        <w:rPr>
          <w:rFonts w:ascii="Tahoma" w:hAnsi="Tahoma" w:cs="Tahoma"/>
          <w:sz w:val="24"/>
          <w:szCs w:val="24"/>
        </w:rPr>
        <w:t xml:space="preserve">evidence gathering should reflect the distinct experiences of Scottish consumers. </w:t>
      </w:r>
      <w:r w:rsidRPr="000E34C1">
        <w:rPr>
          <w:rFonts w:ascii="Tahoma" w:hAnsi="Tahoma" w:cs="Tahoma"/>
          <w:sz w:val="24"/>
          <w:szCs w:val="24"/>
        </w:rPr>
        <w:t xml:space="preserve">It would be useful to build on </w:t>
      </w:r>
      <w:r w:rsidR="00901BA1" w:rsidRPr="000E34C1">
        <w:rPr>
          <w:rFonts w:ascii="Tahoma" w:hAnsi="Tahoma" w:cs="Tahoma"/>
          <w:sz w:val="24"/>
          <w:szCs w:val="24"/>
        </w:rPr>
        <w:t xml:space="preserve">BEIS’ consumer attitudes survey </w:t>
      </w:r>
      <w:r w:rsidRPr="000E34C1">
        <w:rPr>
          <w:rFonts w:ascii="Tahoma" w:hAnsi="Tahoma" w:cs="Tahoma"/>
          <w:sz w:val="24"/>
          <w:szCs w:val="24"/>
        </w:rPr>
        <w:t>from</w:t>
      </w:r>
      <w:r w:rsidR="00901BA1" w:rsidRPr="000E34C1">
        <w:rPr>
          <w:rFonts w:ascii="Tahoma" w:hAnsi="Tahoma" w:cs="Tahoma"/>
          <w:sz w:val="24"/>
          <w:szCs w:val="24"/>
        </w:rPr>
        <w:t xml:space="preserve"> England and Wales,</w:t>
      </w:r>
      <w:r w:rsidRPr="000E34C1">
        <w:rPr>
          <w:rFonts w:ascii="Tahoma" w:hAnsi="Tahoma" w:cs="Tahoma"/>
          <w:sz w:val="24"/>
          <w:szCs w:val="24"/>
        </w:rPr>
        <w:t xml:space="preserve"> and draw out parallels in Scotland.</w:t>
      </w:r>
      <w:r w:rsidR="00D044D9" w:rsidRPr="000E34C1">
        <w:rPr>
          <w:rStyle w:val="FootnoteReference"/>
          <w:rFonts w:ascii="Tahoma" w:hAnsi="Tahoma" w:cs="Tahoma"/>
          <w:sz w:val="24"/>
          <w:szCs w:val="24"/>
        </w:rPr>
        <w:footnoteReference w:id="14"/>
      </w:r>
      <w:r w:rsidR="00901BA1" w:rsidRPr="000E34C1">
        <w:rPr>
          <w:rFonts w:ascii="Tahoma" w:hAnsi="Tahoma" w:cs="Tahoma"/>
          <w:sz w:val="24"/>
          <w:szCs w:val="24"/>
        </w:rPr>
        <w:t xml:space="preserve"> </w:t>
      </w:r>
      <w:r w:rsidR="001717F2">
        <w:rPr>
          <w:rFonts w:ascii="Tahoma" w:hAnsi="Tahoma" w:cs="Tahoma"/>
          <w:sz w:val="24"/>
          <w:szCs w:val="24"/>
        </w:rPr>
        <w:t>We would welcome ambition to explore</w:t>
      </w:r>
      <w:r w:rsidR="001717F2" w:rsidRPr="000E34C1">
        <w:rPr>
          <w:rFonts w:ascii="Tahoma" w:hAnsi="Tahoma" w:cs="Tahoma"/>
          <w:sz w:val="24"/>
          <w:szCs w:val="24"/>
        </w:rPr>
        <w:t xml:space="preserve"> </w:t>
      </w:r>
      <w:r w:rsidRPr="000E34C1">
        <w:rPr>
          <w:rFonts w:ascii="Tahoma" w:hAnsi="Tahoma" w:cs="Tahoma"/>
          <w:sz w:val="24"/>
          <w:szCs w:val="24"/>
        </w:rPr>
        <w:t xml:space="preserve">whether vulnerable consumers are </w:t>
      </w:r>
      <w:r w:rsidR="00454FFA" w:rsidRPr="000E34C1">
        <w:rPr>
          <w:rFonts w:ascii="Tahoma" w:hAnsi="Tahoma" w:cs="Tahoma"/>
          <w:sz w:val="24"/>
          <w:szCs w:val="24"/>
        </w:rPr>
        <w:t>able to</w:t>
      </w:r>
      <w:r w:rsidRPr="000E34C1">
        <w:rPr>
          <w:rFonts w:ascii="Tahoma" w:hAnsi="Tahoma" w:cs="Tahoma"/>
          <w:sz w:val="24"/>
          <w:szCs w:val="24"/>
        </w:rPr>
        <w:t xml:space="preserve"> make informed decisions about their heating system</w:t>
      </w:r>
      <w:r w:rsidR="00454FFA" w:rsidRPr="000E34C1">
        <w:rPr>
          <w:rFonts w:ascii="Tahoma" w:hAnsi="Tahoma" w:cs="Tahoma"/>
          <w:sz w:val="24"/>
          <w:szCs w:val="24"/>
        </w:rPr>
        <w:t xml:space="preserve">, </w:t>
      </w:r>
      <w:r w:rsidR="001717F2">
        <w:rPr>
          <w:rFonts w:ascii="Tahoma" w:hAnsi="Tahoma" w:cs="Tahoma"/>
          <w:sz w:val="24"/>
          <w:szCs w:val="24"/>
        </w:rPr>
        <w:t>and to</w:t>
      </w:r>
      <w:r w:rsidR="00454FFA" w:rsidRPr="000E34C1">
        <w:rPr>
          <w:rFonts w:ascii="Tahoma" w:hAnsi="Tahoma" w:cs="Tahoma"/>
          <w:sz w:val="24"/>
          <w:szCs w:val="24"/>
        </w:rPr>
        <w:t xml:space="preserve"> extend the scope of research to information provision after a tenant or homeowner moves into a property. We know that only 58% of district heating users surveyed felt he</w:t>
      </w:r>
      <w:r w:rsidR="002E5324">
        <w:rPr>
          <w:rFonts w:ascii="Tahoma" w:hAnsi="Tahoma" w:cs="Tahoma"/>
          <w:sz w:val="24"/>
          <w:szCs w:val="24"/>
        </w:rPr>
        <w:t>ating control advice was useful</w:t>
      </w:r>
      <w:r w:rsidR="00454FFA" w:rsidRPr="000E34C1">
        <w:rPr>
          <w:rFonts w:ascii="Tahoma" w:hAnsi="Tahoma" w:cs="Tahoma"/>
          <w:sz w:val="24"/>
          <w:szCs w:val="24"/>
        </w:rPr>
        <w:t xml:space="preserve"> and </w:t>
      </w:r>
      <w:r w:rsidR="001D0A68">
        <w:rPr>
          <w:rFonts w:ascii="Tahoma" w:hAnsi="Tahoma" w:cs="Tahoma"/>
          <w:sz w:val="24"/>
          <w:szCs w:val="24"/>
        </w:rPr>
        <w:t>such issues</w:t>
      </w:r>
      <w:r w:rsidR="00454FFA" w:rsidRPr="000E34C1">
        <w:rPr>
          <w:rFonts w:ascii="Tahoma" w:hAnsi="Tahoma" w:cs="Tahoma"/>
          <w:sz w:val="24"/>
          <w:szCs w:val="24"/>
        </w:rPr>
        <w:t xml:space="preserve"> could be investigated further.</w:t>
      </w:r>
      <w:r w:rsidR="00D044D9" w:rsidRPr="000E34C1">
        <w:rPr>
          <w:rStyle w:val="FootnoteReference"/>
          <w:rFonts w:ascii="Tahoma" w:hAnsi="Tahoma" w:cs="Tahoma"/>
          <w:sz w:val="24"/>
          <w:szCs w:val="24"/>
        </w:rPr>
        <w:footnoteReference w:id="15"/>
      </w:r>
      <w:r w:rsidR="008E5429">
        <w:rPr>
          <w:rFonts w:ascii="Tahoma" w:hAnsi="Tahoma" w:cs="Tahoma"/>
          <w:sz w:val="24"/>
          <w:szCs w:val="24"/>
        </w:rPr>
        <w:t xml:space="preserve"> </w:t>
      </w:r>
      <w:r w:rsidR="00B43157">
        <w:rPr>
          <w:rFonts w:ascii="Tahoma" w:hAnsi="Tahoma" w:cs="Tahoma"/>
          <w:sz w:val="24"/>
          <w:szCs w:val="24"/>
        </w:rPr>
        <w:t>A</w:t>
      </w:r>
      <w:r w:rsidR="00A5727B">
        <w:rPr>
          <w:rFonts w:ascii="Tahoma" w:hAnsi="Tahoma" w:cs="Tahoma"/>
          <w:sz w:val="24"/>
          <w:szCs w:val="24"/>
        </w:rPr>
        <w:t>dditionally, a</w:t>
      </w:r>
      <w:r w:rsidR="00B43157">
        <w:rPr>
          <w:rFonts w:ascii="Tahoma" w:hAnsi="Tahoma" w:cs="Tahoma"/>
          <w:sz w:val="24"/>
          <w:szCs w:val="24"/>
        </w:rPr>
        <w:t>ny further work that maps where schemes are sited would aid the evaluation of schemes.</w:t>
      </w:r>
    </w:p>
    <w:p w:rsidR="000E0BEF" w:rsidRPr="000E34C1" w:rsidRDefault="000E0BEF" w:rsidP="000E34C1">
      <w:pPr>
        <w:pStyle w:val="ListParagraph"/>
        <w:numPr>
          <w:ilvl w:val="0"/>
          <w:numId w:val="10"/>
        </w:numPr>
        <w:jc w:val="both"/>
        <w:rPr>
          <w:rFonts w:ascii="Tahoma" w:hAnsi="Tahoma" w:cs="Tahoma"/>
          <w:b/>
          <w:sz w:val="24"/>
          <w:szCs w:val="24"/>
        </w:rPr>
      </w:pPr>
      <w:r w:rsidRPr="000E34C1">
        <w:rPr>
          <w:rFonts w:ascii="Tahoma" w:hAnsi="Tahoma" w:cs="Tahoma"/>
          <w:b/>
          <w:sz w:val="24"/>
          <w:szCs w:val="24"/>
        </w:rPr>
        <w:t>Do you think that the potential remedies we are considering are appropriate? What are the potential benefits / risks in implementing such remedies and how should they be designed to maximise benefits? Are there other remedies that we should be considering?</w:t>
      </w:r>
    </w:p>
    <w:p w:rsidR="002561B6" w:rsidRPr="000E34C1" w:rsidRDefault="002561B6" w:rsidP="000E34C1">
      <w:pPr>
        <w:jc w:val="both"/>
        <w:rPr>
          <w:rFonts w:ascii="Tahoma" w:hAnsi="Tahoma" w:cs="Tahoma"/>
          <w:sz w:val="24"/>
          <w:szCs w:val="24"/>
        </w:rPr>
      </w:pPr>
      <w:r w:rsidRPr="000E34C1">
        <w:rPr>
          <w:rFonts w:ascii="Tahoma" w:hAnsi="Tahoma" w:cs="Tahoma"/>
          <w:sz w:val="24"/>
          <w:szCs w:val="24"/>
        </w:rPr>
        <w:t xml:space="preserve">Our </w:t>
      </w:r>
      <w:r w:rsidR="00454FFA" w:rsidRPr="000E34C1">
        <w:rPr>
          <w:rFonts w:ascii="Tahoma" w:hAnsi="Tahoma" w:cs="Tahoma"/>
          <w:sz w:val="24"/>
          <w:szCs w:val="24"/>
        </w:rPr>
        <w:t>research</w:t>
      </w:r>
      <w:r w:rsidRPr="000E34C1">
        <w:rPr>
          <w:rFonts w:ascii="Tahoma" w:hAnsi="Tahoma" w:cs="Tahoma"/>
          <w:sz w:val="24"/>
          <w:szCs w:val="24"/>
        </w:rPr>
        <w:t xml:space="preserve"> called for the Scottish Government to put in place a statutory licence which should include Fair Heat Contracts</w:t>
      </w:r>
      <w:r w:rsidR="00454FFA" w:rsidRPr="000E34C1">
        <w:rPr>
          <w:rFonts w:ascii="Tahoma" w:hAnsi="Tahoma" w:cs="Tahoma"/>
          <w:sz w:val="24"/>
          <w:szCs w:val="24"/>
        </w:rPr>
        <w:t>, providing</w:t>
      </w:r>
      <w:r w:rsidRPr="000E34C1">
        <w:rPr>
          <w:rFonts w:ascii="Tahoma" w:hAnsi="Tahoma" w:cs="Tahoma"/>
          <w:sz w:val="24"/>
          <w:szCs w:val="24"/>
        </w:rPr>
        <w:t xml:space="preserve"> clear information on </w:t>
      </w:r>
      <w:r w:rsidR="00686696" w:rsidRPr="000E34C1">
        <w:rPr>
          <w:rFonts w:ascii="Tahoma" w:hAnsi="Tahoma" w:cs="Tahoma"/>
          <w:sz w:val="24"/>
          <w:szCs w:val="24"/>
        </w:rPr>
        <w:t>a</w:t>
      </w:r>
      <w:r w:rsidR="00454FFA" w:rsidRPr="000E34C1">
        <w:rPr>
          <w:rFonts w:ascii="Tahoma" w:hAnsi="Tahoma" w:cs="Tahoma"/>
          <w:sz w:val="24"/>
          <w:szCs w:val="24"/>
        </w:rPr>
        <w:t xml:space="preserve"> range of consumer protections </w:t>
      </w:r>
      <w:r w:rsidR="00686696" w:rsidRPr="000E34C1">
        <w:rPr>
          <w:rFonts w:ascii="Tahoma" w:hAnsi="Tahoma" w:cs="Tahoma"/>
          <w:sz w:val="24"/>
          <w:szCs w:val="24"/>
        </w:rPr>
        <w:t>including joining and leaving rights.</w:t>
      </w:r>
      <w:r w:rsidR="00D044D9" w:rsidRPr="000E34C1">
        <w:rPr>
          <w:rStyle w:val="FootnoteReference"/>
          <w:rFonts w:ascii="Tahoma" w:hAnsi="Tahoma" w:cs="Tahoma"/>
          <w:sz w:val="24"/>
          <w:szCs w:val="24"/>
        </w:rPr>
        <w:footnoteReference w:id="16"/>
      </w:r>
      <w:r w:rsidR="00686696" w:rsidRPr="000E34C1">
        <w:rPr>
          <w:rFonts w:ascii="Tahoma" w:hAnsi="Tahoma" w:cs="Tahoma"/>
          <w:sz w:val="24"/>
          <w:szCs w:val="24"/>
        </w:rPr>
        <w:t xml:space="preserve"> </w:t>
      </w:r>
      <w:r w:rsidR="00454FFA" w:rsidRPr="000E34C1">
        <w:rPr>
          <w:rFonts w:ascii="Tahoma" w:hAnsi="Tahoma" w:cs="Tahoma"/>
          <w:sz w:val="24"/>
          <w:szCs w:val="24"/>
        </w:rPr>
        <w:t>If pre-transaction transparency is improved, it will be important to monitor</w:t>
      </w:r>
      <w:r w:rsidR="00686696" w:rsidRPr="000E34C1">
        <w:rPr>
          <w:rFonts w:ascii="Tahoma" w:hAnsi="Tahoma" w:cs="Tahoma"/>
          <w:sz w:val="24"/>
          <w:szCs w:val="24"/>
        </w:rPr>
        <w:t xml:space="preserve"> </w:t>
      </w:r>
      <w:r w:rsidR="00454FFA" w:rsidRPr="000E34C1">
        <w:rPr>
          <w:rFonts w:ascii="Tahoma" w:hAnsi="Tahoma" w:cs="Tahoma"/>
          <w:sz w:val="24"/>
          <w:szCs w:val="24"/>
        </w:rPr>
        <w:t>consumer experience of whether they have received sufficient information</w:t>
      </w:r>
      <w:r w:rsidR="004644C7">
        <w:rPr>
          <w:rFonts w:ascii="Tahoma" w:hAnsi="Tahoma" w:cs="Tahoma"/>
          <w:sz w:val="24"/>
          <w:szCs w:val="24"/>
        </w:rPr>
        <w:t>. The effectiveness and extent of a</w:t>
      </w:r>
      <w:r w:rsidR="00E00967">
        <w:rPr>
          <w:rFonts w:ascii="Tahoma" w:hAnsi="Tahoma" w:cs="Tahoma"/>
          <w:sz w:val="24"/>
          <w:szCs w:val="24"/>
        </w:rPr>
        <w:t xml:space="preserve">dditional ‘follow up’ </w:t>
      </w:r>
      <w:r w:rsidR="00E00967">
        <w:rPr>
          <w:rFonts w:ascii="Tahoma" w:hAnsi="Tahoma" w:cs="Tahoma"/>
          <w:sz w:val="24"/>
          <w:szCs w:val="24"/>
        </w:rPr>
        <w:lastRenderedPageBreak/>
        <w:t>information</w:t>
      </w:r>
      <w:r w:rsidR="004644C7">
        <w:rPr>
          <w:rFonts w:ascii="Tahoma" w:hAnsi="Tahoma" w:cs="Tahoma"/>
          <w:sz w:val="24"/>
          <w:szCs w:val="24"/>
        </w:rPr>
        <w:t xml:space="preserve"> should also be assessed</w:t>
      </w:r>
      <w:r w:rsidR="00493E0B" w:rsidRPr="000E34C1">
        <w:rPr>
          <w:rFonts w:ascii="Tahoma" w:hAnsi="Tahoma" w:cs="Tahoma"/>
          <w:sz w:val="24"/>
          <w:szCs w:val="24"/>
        </w:rPr>
        <w:t xml:space="preserve">. </w:t>
      </w:r>
      <w:r w:rsidR="00454FFA" w:rsidRPr="000E34C1">
        <w:rPr>
          <w:rFonts w:ascii="Tahoma" w:hAnsi="Tahoma" w:cs="Tahoma"/>
          <w:sz w:val="24"/>
          <w:szCs w:val="24"/>
        </w:rPr>
        <w:t>F</w:t>
      </w:r>
      <w:r w:rsidR="00686696" w:rsidRPr="000E34C1">
        <w:rPr>
          <w:rFonts w:ascii="Tahoma" w:hAnsi="Tahoma" w:cs="Tahoma"/>
          <w:sz w:val="24"/>
          <w:szCs w:val="24"/>
        </w:rPr>
        <w:t xml:space="preserve">urther research </w:t>
      </w:r>
      <w:r w:rsidR="00454FFA" w:rsidRPr="000E34C1">
        <w:rPr>
          <w:rFonts w:ascii="Tahoma" w:hAnsi="Tahoma" w:cs="Tahoma"/>
          <w:sz w:val="24"/>
          <w:szCs w:val="24"/>
        </w:rPr>
        <w:t xml:space="preserve">could test the </w:t>
      </w:r>
      <w:r w:rsidR="00686696" w:rsidRPr="000E34C1">
        <w:rPr>
          <w:rFonts w:ascii="Tahoma" w:hAnsi="Tahoma" w:cs="Tahoma"/>
          <w:sz w:val="24"/>
          <w:szCs w:val="24"/>
        </w:rPr>
        <w:t>consistency</w:t>
      </w:r>
      <w:r w:rsidR="00493E0B" w:rsidRPr="000E34C1">
        <w:rPr>
          <w:rFonts w:ascii="Tahoma" w:hAnsi="Tahoma" w:cs="Tahoma"/>
          <w:sz w:val="24"/>
          <w:szCs w:val="24"/>
        </w:rPr>
        <w:t xml:space="preserve"> of approach and the effectiveness of regulations</w:t>
      </w:r>
      <w:r w:rsidR="00686696" w:rsidRPr="000E34C1">
        <w:rPr>
          <w:rFonts w:ascii="Tahoma" w:hAnsi="Tahoma" w:cs="Tahoma"/>
          <w:sz w:val="24"/>
          <w:szCs w:val="24"/>
        </w:rPr>
        <w:t xml:space="preserve">. </w:t>
      </w:r>
    </w:p>
    <w:p w:rsidR="00686696" w:rsidRPr="000E34C1" w:rsidRDefault="00686696" w:rsidP="000E34C1">
      <w:pPr>
        <w:jc w:val="both"/>
        <w:rPr>
          <w:rFonts w:ascii="Tahoma" w:hAnsi="Tahoma" w:cs="Tahoma"/>
          <w:sz w:val="24"/>
          <w:szCs w:val="24"/>
        </w:rPr>
      </w:pPr>
      <w:r w:rsidRPr="000E34C1">
        <w:rPr>
          <w:rFonts w:ascii="Tahoma" w:hAnsi="Tahoma" w:cs="Tahoma"/>
          <w:sz w:val="24"/>
          <w:szCs w:val="24"/>
        </w:rPr>
        <w:t>Any new billing proposals should build on the work of</w:t>
      </w:r>
      <w:r w:rsidR="001717F2">
        <w:rPr>
          <w:rFonts w:ascii="Tahoma" w:hAnsi="Tahoma" w:cs="Tahoma"/>
          <w:sz w:val="24"/>
          <w:szCs w:val="24"/>
        </w:rPr>
        <w:t xml:space="preserve"> groups such as</w:t>
      </w:r>
      <w:r w:rsidRPr="000E34C1">
        <w:rPr>
          <w:rFonts w:ascii="Tahoma" w:hAnsi="Tahoma" w:cs="Tahoma"/>
          <w:sz w:val="24"/>
          <w:szCs w:val="24"/>
        </w:rPr>
        <w:t xml:space="preserve"> the Heat Trust to strengthen consumer protections</w:t>
      </w:r>
      <w:r w:rsidR="00454FFA" w:rsidRPr="000E34C1">
        <w:rPr>
          <w:rFonts w:ascii="Tahoma" w:hAnsi="Tahoma" w:cs="Tahoma"/>
          <w:sz w:val="24"/>
          <w:szCs w:val="24"/>
        </w:rPr>
        <w:t xml:space="preserve"> and </w:t>
      </w:r>
      <w:r w:rsidR="001717F2">
        <w:rPr>
          <w:rFonts w:ascii="Tahoma" w:hAnsi="Tahoma" w:cs="Tahoma"/>
          <w:sz w:val="24"/>
          <w:szCs w:val="24"/>
        </w:rPr>
        <w:t>ensure that</w:t>
      </w:r>
      <w:r w:rsidR="001717F2" w:rsidRPr="000E34C1">
        <w:rPr>
          <w:rFonts w:ascii="Tahoma" w:hAnsi="Tahoma" w:cs="Tahoma"/>
          <w:sz w:val="24"/>
          <w:szCs w:val="24"/>
        </w:rPr>
        <w:t xml:space="preserve"> </w:t>
      </w:r>
      <w:r w:rsidR="00454FFA" w:rsidRPr="000E34C1">
        <w:rPr>
          <w:rFonts w:ascii="Tahoma" w:hAnsi="Tahoma" w:cs="Tahoma"/>
          <w:sz w:val="24"/>
          <w:szCs w:val="24"/>
        </w:rPr>
        <w:t>standards</w:t>
      </w:r>
      <w:r w:rsidR="000E61C2" w:rsidRPr="000E34C1">
        <w:rPr>
          <w:rFonts w:ascii="Tahoma" w:hAnsi="Tahoma" w:cs="Tahoma"/>
          <w:sz w:val="24"/>
          <w:szCs w:val="24"/>
        </w:rPr>
        <w:t xml:space="preserve"> </w:t>
      </w:r>
      <w:r w:rsidR="001717F2">
        <w:rPr>
          <w:rFonts w:ascii="Tahoma" w:hAnsi="Tahoma" w:cs="Tahoma"/>
          <w:sz w:val="24"/>
          <w:szCs w:val="24"/>
        </w:rPr>
        <w:t xml:space="preserve">are </w:t>
      </w:r>
      <w:r w:rsidR="00454FFA" w:rsidRPr="000E34C1">
        <w:rPr>
          <w:rFonts w:ascii="Tahoma" w:hAnsi="Tahoma" w:cs="Tahoma"/>
          <w:sz w:val="24"/>
          <w:szCs w:val="24"/>
        </w:rPr>
        <w:t xml:space="preserve">at least on a par with </w:t>
      </w:r>
      <w:r w:rsidR="000E61C2" w:rsidRPr="000E34C1">
        <w:rPr>
          <w:rFonts w:ascii="Tahoma" w:hAnsi="Tahoma" w:cs="Tahoma"/>
          <w:sz w:val="24"/>
          <w:szCs w:val="24"/>
        </w:rPr>
        <w:t>electricity or gas</w:t>
      </w:r>
      <w:r w:rsidR="00454FFA" w:rsidRPr="000E34C1">
        <w:rPr>
          <w:rFonts w:ascii="Tahoma" w:hAnsi="Tahoma" w:cs="Tahoma"/>
          <w:sz w:val="24"/>
          <w:szCs w:val="24"/>
        </w:rPr>
        <w:t xml:space="preserve"> sectors</w:t>
      </w:r>
      <w:r w:rsidRPr="000E34C1">
        <w:rPr>
          <w:rFonts w:ascii="Tahoma" w:hAnsi="Tahoma" w:cs="Tahoma"/>
          <w:sz w:val="24"/>
          <w:szCs w:val="24"/>
        </w:rPr>
        <w:t xml:space="preserve">. Our research provided more detail on the protections we would like to see around billing and pricing in Scotland. These included: </w:t>
      </w:r>
    </w:p>
    <w:p w:rsidR="00686696" w:rsidRPr="000E34C1" w:rsidRDefault="00686696" w:rsidP="000E34C1">
      <w:pPr>
        <w:jc w:val="both"/>
        <w:rPr>
          <w:rFonts w:ascii="Tahoma" w:hAnsi="Tahoma" w:cs="Tahoma"/>
          <w:sz w:val="24"/>
          <w:szCs w:val="24"/>
        </w:rPr>
      </w:pPr>
      <w:r w:rsidRPr="000E34C1">
        <w:rPr>
          <w:rFonts w:ascii="Tahoma" w:hAnsi="Tahoma" w:cs="Tahoma"/>
          <w:sz w:val="24"/>
          <w:szCs w:val="24"/>
        </w:rPr>
        <w:sym w:font="Symbol" w:char="F0B7"/>
      </w:r>
      <w:r w:rsidRPr="000E34C1">
        <w:rPr>
          <w:rFonts w:ascii="Tahoma" w:hAnsi="Tahoma" w:cs="Tahoma"/>
          <w:sz w:val="24"/>
          <w:szCs w:val="24"/>
        </w:rPr>
        <w:t xml:space="preserve"> </w:t>
      </w:r>
      <w:r w:rsidRPr="000E34C1">
        <w:rPr>
          <w:rFonts w:ascii="Tahoma" w:hAnsi="Tahoma" w:cs="Tahoma"/>
          <w:b/>
          <w:sz w:val="24"/>
          <w:szCs w:val="24"/>
        </w:rPr>
        <w:t>Publishing prices</w:t>
      </w:r>
      <w:r w:rsidRPr="000E34C1">
        <w:rPr>
          <w:rFonts w:ascii="Tahoma" w:hAnsi="Tahoma" w:cs="Tahoma"/>
          <w:sz w:val="24"/>
          <w:szCs w:val="24"/>
        </w:rPr>
        <w:t xml:space="preserve"> – including benchmarking against other schemes – which could encourage pressure from consumers on their supplier for improvements, and allow them to raise concerns about high prices, through allowing consumers and operators the chance to compare performance. This may also allow consumers to understand prices. </w:t>
      </w:r>
      <w:r w:rsidR="004644C7">
        <w:rPr>
          <w:rFonts w:ascii="Tahoma" w:hAnsi="Tahoma" w:cs="Tahoma"/>
          <w:sz w:val="24"/>
          <w:szCs w:val="24"/>
        </w:rPr>
        <w:t>As mentioned earlier,</w:t>
      </w:r>
      <w:r w:rsidR="004644C7" w:rsidRPr="000E34C1">
        <w:rPr>
          <w:rFonts w:ascii="Tahoma" w:hAnsi="Tahoma" w:cs="Tahoma"/>
          <w:sz w:val="24"/>
          <w:szCs w:val="24"/>
        </w:rPr>
        <w:t xml:space="preserve"> </w:t>
      </w:r>
      <w:r w:rsidR="004644C7">
        <w:rPr>
          <w:rFonts w:ascii="Tahoma" w:hAnsi="Tahoma" w:cs="Tahoma"/>
          <w:sz w:val="24"/>
          <w:szCs w:val="24"/>
        </w:rPr>
        <w:t xml:space="preserve">the </w:t>
      </w:r>
      <w:r w:rsidRPr="000E34C1">
        <w:rPr>
          <w:rFonts w:ascii="Tahoma" w:hAnsi="Tahoma" w:cs="Tahoma"/>
          <w:sz w:val="24"/>
          <w:szCs w:val="24"/>
        </w:rPr>
        <w:t xml:space="preserve">Heat Trust currently has a price comparison tool that would help to enable this. </w:t>
      </w:r>
    </w:p>
    <w:p w:rsidR="00686696" w:rsidRPr="000E34C1" w:rsidRDefault="00686696" w:rsidP="000E34C1">
      <w:pPr>
        <w:jc w:val="both"/>
        <w:rPr>
          <w:rFonts w:ascii="Tahoma" w:hAnsi="Tahoma" w:cs="Tahoma"/>
          <w:sz w:val="24"/>
          <w:szCs w:val="24"/>
        </w:rPr>
      </w:pPr>
      <w:r w:rsidRPr="000E34C1">
        <w:rPr>
          <w:rFonts w:ascii="Tahoma" w:hAnsi="Tahoma" w:cs="Tahoma"/>
          <w:sz w:val="24"/>
          <w:szCs w:val="24"/>
        </w:rPr>
        <w:sym w:font="Symbol" w:char="F0B7"/>
      </w:r>
      <w:r w:rsidRPr="000E34C1">
        <w:rPr>
          <w:rFonts w:ascii="Tahoma" w:hAnsi="Tahoma" w:cs="Tahoma"/>
          <w:sz w:val="24"/>
          <w:szCs w:val="24"/>
        </w:rPr>
        <w:t xml:space="preserve"> </w:t>
      </w:r>
      <w:r w:rsidRPr="000E34C1">
        <w:rPr>
          <w:rFonts w:ascii="Tahoma" w:hAnsi="Tahoma" w:cs="Tahoma"/>
          <w:b/>
          <w:sz w:val="24"/>
          <w:szCs w:val="24"/>
        </w:rPr>
        <w:t>Minimum standards of regularity and accuracy for billing</w:t>
      </w:r>
      <w:r w:rsidRPr="000E34C1">
        <w:rPr>
          <w:rFonts w:ascii="Tahoma" w:hAnsi="Tahoma" w:cs="Tahoma"/>
          <w:sz w:val="24"/>
          <w:szCs w:val="24"/>
        </w:rPr>
        <w:t xml:space="preserve"> – This may reduce risk of build-up of large bills or confusion around billing. This may also help to prevent consumers falling into debt. </w:t>
      </w:r>
    </w:p>
    <w:p w:rsidR="00686696" w:rsidRPr="000E34C1" w:rsidRDefault="00686696" w:rsidP="000E34C1">
      <w:pPr>
        <w:jc w:val="both"/>
        <w:rPr>
          <w:rFonts w:ascii="Tahoma" w:hAnsi="Tahoma" w:cs="Tahoma"/>
          <w:sz w:val="24"/>
          <w:szCs w:val="24"/>
        </w:rPr>
      </w:pPr>
      <w:r w:rsidRPr="000E34C1">
        <w:rPr>
          <w:rFonts w:ascii="Tahoma" w:hAnsi="Tahoma" w:cs="Tahoma"/>
          <w:sz w:val="24"/>
          <w:szCs w:val="24"/>
        </w:rPr>
        <w:sym w:font="Symbol" w:char="F0B7"/>
      </w:r>
      <w:r w:rsidRPr="000E34C1">
        <w:rPr>
          <w:rFonts w:ascii="Tahoma" w:hAnsi="Tahoma" w:cs="Tahoma"/>
          <w:sz w:val="24"/>
          <w:szCs w:val="24"/>
        </w:rPr>
        <w:t xml:space="preserve"> </w:t>
      </w:r>
      <w:r w:rsidRPr="000E34C1">
        <w:rPr>
          <w:rFonts w:ascii="Tahoma" w:hAnsi="Tahoma" w:cs="Tahoma"/>
          <w:b/>
          <w:sz w:val="24"/>
          <w:szCs w:val="24"/>
        </w:rPr>
        <w:t>Breakdown of prices to consumer</w:t>
      </w:r>
      <w:r w:rsidRPr="000E34C1">
        <w:rPr>
          <w:rFonts w:ascii="Tahoma" w:hAnsi="Tahoma" w:cs="Tahoma"/>
          <w:sz w:val="24"/>
          <w:szCs w:val="24"/>
        </w:rPr>
        <w:t xml:space="preserve"> – This would give the consumer the opportunity to see what contributes to cost (and what savings could be available by reducing use etc.).</w:t>
      </w:r>
      <w:r w:rsidR="00D044D9" w:rsidRPr="000E34C1">
        <w:rPr>
          <w:rStyle w:val="FootnoteReference"/>
          <w:rFonts w:ascii="Tahoma" w:hAnsi="Tahoma" w:cs="Tahoma"/>
          <w:sz w:val="24"/>
          <w:szCs w:val="24"/>
        </w:rPr>
        <w:footnoteReference w:id="17"/>
      </w:r>
    </w:p>
    <w:p w:rsidR="00924740" w:rsidRPr="000E34C1" w:rsidRDefault="00924740" w:rsidP="000E34C1">
      <w:pPr>
        <w:autoSpaceDE w:val="0"/>
        <w:autoSpaceDN w:val="0"/>
        <w:adjustRightInd w:val="0"/>
        <w:spacing w:after="0" w:line="240" w:lineRule="auto"/>
        <w:jc w:val="both"/>
        <w:rPr>
          <w:rFonts w:ascii="Tahoma" w:hAnsi="Tahoma" w:cs="Tahoma"/>
          <w:b/>
          <w:sz w:val="24"/>
          <w:szCs w:val="24"/>
          <w:u w:val="single"/>
        </w:rPr>
      </w:pPr>
      <w:r w:rsidRPr="000E34C1">
        <w:rPr>
          <w:rFonts w:ascii="Tahoma" w:hAnsi="Tahoma" w:cs="Tahoma"/>
          <w:b/>
          <w:sz w:val="24"/>
          <w:szCs w:val="24"/>
          <w:u w:val="single"/>
        </w:rPr>
        <w:t>Theme 2: Monopoly supply</w:t>
      </w:r>
    </w:p>
    <w:p w:rsidR="00924740" w:rsidRPr="000E34C1" w:rsidRDefault="00924740" w:rsidP="000E34C1">
      <w:pPr>
        <w:autoSpaceDE w:val="0"/>
        <w:autoSpaceDN w:val="0"/>
        <w:adjustRightInd w:val="0"/>
        <w:spacing w:after="0" w:line="240" w:lineRule="auto"/>
        <w:jc w:val="both"/>
        <w:rPr>
          <w:rFonts w:ascii="Tahoma" w:hAnsi="Tahoma" w:cs="Tahoma"/>
          <w:b/>
          <w:sz w:val="24"/>
          <w:szCs w:val="24"/>
        </w:rPr>
      </w:pPr>
    </w:p>
    <w:p w:rsidR="00924740" w:rsidRPr="000E34C1" w:rsidRDefault="00924740" w:rsidP="000E34C1">
      <w:pPr>
        <w:pStyle w:val="ListParagraph"/>
        <w:numPr>
          <w:ilvl w:val="0"/>
          <w:numId w:val="1"/>
        </w:numPr>
        <w:autoSpaceDE w:val="0"/>
        <w:autoSpaceDN w:val="0"/>
        <w:adjustRightInd w:val="0"/>
        <w:spacing w:after="0" w:line="240" w:lineRule="auto"/>
        <w:jc w:val="both"/>
        <w:rPr>
          <w:rFonts w:ascii="Tahoma" w:hAnsi="Tahoma" w:cs="Tahoma"/>
          <w:b/>
          <w:sz w:val="24"/>
          <w:szCs w:val="24"/>
        </w:rPr>
      </w:pPr>
      <w:r w:rsidRPr="000E34C1">
        <w:rPr>
          <w:rFonts w:ascii="Tahoma" w:hAnsi="Tahoma" w:cs="Tahoma"/>
          <w:b/>
          <w:sz w:val="24"/>
          <w:szCs w:val="24"/>
        </w:rPr>
        <w:t>Do heat networks exhibit natural monopoly characteristics (high fixed costs; economies of scale; barriers to further local entry to compete for existing customers)?</w:t>
      </w:r>
    </w:p>
    <w:p w:rsidR="009356CE" w:rsidRPr="000E34C1" w:rsidRDefault="009356CE" w:rsidP="000E34C1">
      <w:pPr>
        <w:autoSpaceDE w:val="0"/>
        <w:autoSpaceDN w:val="0"/>
        <w:adjustRightInd w:val="0"/>
        <w:spacing w:after="0" w:line="240" w:lineRule="auto"/>
        <w:jc w:val="both"/>
        <w:rPr>
          <w:rFonts w:ascii="Tahoma" w:hAnsi="Tahoma" w:cs="Tahoma"/>
          <w:sz w:val="24"/>
          <w:szCs w:val="24"/>
        </w:rPr>
      </w:pPr>
    </w:p>
    <w:p w:rsidR="00085CC4" w:rsidRPr="000E34C1" w:rsidRDefault="00085CC4" w:rsidP="000E34C1">
      <w:pPr>
        <w:autoSpaceDE w:val="0"/>
        <w:autoSpaceDN w:val="0"/>
        <w:adjustRightInd w:val="0"/>
        <w:spacing w:after="0" w:line="240" w:lineRule="auto"/>
        <w:jc w:val="both"/>
        <w:rPr>
          <w:rFonts w:ascii="Tahoma" w:hAnsi="Tahoma" w:cs="Tahoma"/>
          <w:sz w:val="24"/>
          <w:szCs w:val="24"/>
        </w:rPr>
      </w:pPr>
      <w:r w:rsidRPr="000E34C1">
        <w:rPr>
          <w:rFonts w:ascii="Tahoma" w:hAnsi="Tahoma" w:cs="Tahoma"/>
          <w:sz w:val="24"/>
          <w:szCs w:val="24"/>
        </w:rPr>
        <w:t xml:space="preserve">In a district heating scheme, supply, distribution and generation are all often owned by the same </w:t>
      </w:r>
      <w:r w:rsidR="00ED00A8" w:rsidRPr="000E34C1">
        <w:rPr>
          <w:rFonts w:ascii="Tahoma" w:hAnsi="Tahoma" w:cs="Tahoma"/>
          <w:sz w:val="24"/>
          <w:szCs w:val="24"/>
        </w:rPr>
        <w:t>organisation</w:t>
      </w:r>
      <w:r w:rsidRPr="000E34C1">
        <w:rPr>
          <w:rFonts w:ascii="Tahoma" w:hAnsi="Tahoma" w:cs="Tahoma"/>
          <w:sz w:val="24"/>
          <w:szCs w:val="24"/>
        </w:rPr>
        <w:t xml:space="preserve">, meaning that once </w:t>
      </w:r>
      <w:r w:rsidR="00454FFA" w:rsidRPr="000E34C1">
        <w:rPr>
          <w:rFonts w:ascii="Tahoma" w:hAnsi="Tahoma" w:cs="Tahoma"/>
          <w:sz w:val="24"/>
          <w:szCs w:val="24"/>
        </w:rPr>
        <w:t>built</w:t>
      </w:r>
      <w:r w:rsidR="001D0A68">
        <w:rPr>
          <w:rFonts w:ascii="Tahoma" w:hAnsi="Tahoma" w:cs="Tahoma"/>
          <w:sz w:val="24"/>
          <w:szCs w:val="24"/>
        </w:rPr>
        <w:t>,</w:t>
      </w:r>
      <w:r w:rsidR="00454FFA" w:rsidRPr="000E34C1">
        <w:rPr>
          <w:rFonts w:ascii="Tahoma" w:hAnsi="Tahoma" w:cs="Tahoma"/>
          <w:sz w:val="24"/>
          <w:szCs w:val="24"/>
        </w:rPr>
        <w:t xml:space="preserve"> a scheme </w:t>
      </w:r>
      <w:r w:rsidRPr="000E34C1">
        <w:rPr>
          <w:rFonts w:ascii="Tahoma" w:hAnsi="Tahoma" w:cs="Tahoma"/>
          <w:sz w:val="24"/>
          <w:szCs w:val="24"/>
        </w:rPr>
        <w:t>operates as an effective monopoly</w:t>
      </w:r>
      <w:r w:rsidR="00BE2983" w:rsidRPr="000E34C1">
        <w:rPr>
          <w:rFonts w:ascii="Tahoma" w:hAnsi="Tahoma" w:cs="Tahoma"/>
          <w:sz w:val="24"/>
          <w:szCs w:val="24"/>
        </w:rPr>
        <w:t xml:space="preserve">. </w:t>
      </w:r>
      <w:r w:rsidRPr="000E34C1">
        <w:rPr>
          <w:rFonts w:ascii="Tahoma" w:hAnsi="Tahoma" w:cs="Tahoma"/>
          <w:sz w:val="24"/>
          <w:szCs w:val="24"/>
        </w:rPr>
        <w:t>Even</w:t>
      </w:r>
      <w:r w:rsidR="00BE2983" w:rsidRPr="000E34C1">
        <w:rPr>
          <w:rFonts w:ascii="Tahoma" w:hAnsi="Tahoma" w:cs="Tahoma"/>
          <w:sz w:val="24"/>
          <w:szCs w:val="24"/>
        </w:rPr>
        <w:t xml:space="preserve"> </w:t>
      </w:r>
      <w:r w:rsidRPr="000E34C1">
        <w:rPr>
          <w:rFonts w:ascii="Tahoma" w:hAnsi="Tahoma" w:cs="Tahoma"/>
          <w:sz w:val="24"/>
          <w:szCs w:val="24"/>
        </w:rPr>
        <w:t>where a third party supplier is involved, the end</w:t>
      </w:r>
      <w:r w:rsidR="00BE2983" w:rsidRPr="000E34C1">
        <w:rPr>
          <w:rFonts w:ascii="Tahoma" w:hAnsi="Tahoma" w:cs="Tahoma"/>
          <w:sz w:val="24"/>
          <w:szCs w:val="24"/>
        </w:rPr>
        <w:t xml:space="preserve"> consumer has only one supplier to choose from</w:t>
      </w:r>
      <w:r w:rsidR="00DD707D" w:rsidRPr="000E34C1">
        <w:rPr>
          <w:rFonts w:ascii="Tahoma" w:hAnsi="Tahoma" w:cs="Tahoma"/>
          <w:sz w:val="24"/>
          <w:szCs w:val="24"/>
        </w:rPr>
        <w:t xml:space="preserve">. </w:t>
      </w:r>
      <w:r w:rsidR="00BE2983" w:rsidRPr="000E34C1">
        <w:rPr>
          <w:rFonts w:ascii="Tahoma" w:hAnsi="Tahoma" w:cs="Tahoma"/>
          <w:sz w:val="24"/>
          <w:szCs w:val="24"/>
        </w:rPr>
        <w:t>A</w:t>
      </w:r>
      <w:r w:rsidR="00DD707D" w:rsidRPr="000E34C1">
        <w:rPr>
          <w:rFonts w:ascii="Tahoma" w:hAnsi="Tahoma" w:cs="Tahoma"/>
          <w:sz w:val="24"/>
          <w:szCs w:val="24"/>
        </w:rPr>
        <w:t>lternative supplie</w:t>
      </w:r>
      <w:r w:rsidR="0082450D" w:rsidRPr="000E34C1">
        <w:rPr>
          <w:rFonts w:ascii="Tahoma" w:hAnsi="Tahoma" w:cs="Tahoma"/>
          <w:sz w:val="24"/>
          <w:szCs w:val="24"/>
        </w:rPr>
        <w:t xml:space="preserve">rs </w:t>
      </w:r>
      <w:r w:rsidR="00BE2983" w:rsidRPr="000E34C1">
        <w:rPr>
          <w:rFonts w:ascii="Tahoma" w:hAnsi="Tahoma" w:cs="Tahoma"/>
          <w:sz w:val="24"/>
          <w:szCs w:val="24"/>
        </w:rPr>
        <w:t xml:space="preserve">can </w:t>
      </w:r>
      <w:r w:rsidR="0082450D" w:rsidRPr="000E34C1">
        <w:rPr>
          <w:rFonts w:ascii="Tahoma" w:hAnsi="Tahoma" w:cs="Tahoma"/>
          <w:sz w:val="24"/>
          <w:szCs w:val="24"/>
        </w:rPr>
        <w:t>take over struggling schemes, but</w:t>
      </w:r>
      <w:r w:rsidR="00BE2983" w:rsidRPr="000E34C1">
        <w:rPr>
          <w:rFonts w:ascii="Tahoma" w:hAnsi="Tahoma" w:cs="Tahoma"/>
          <w:sz w:val="24"/>
          <w:szCs w:val="24"/>
        </w:rPr>
        <w:t xml:space="preserve"> it is rarely the </w:t>
      </w:r>
      <w:r w:rsidR="001D0A68">
        <w:rPr>
          <w:rFonts w:ascii="Tahoma" w:hAnsi="Tahoma" w:cs="Tahoma"/>
          <w:sz w:val="24"/>
          <w:szCs w:val="24"/>
        </w:rPr>
        <w:t xml:space="preserve">individual </w:t>
      </w:r>
      <w:r w:rsidR="00BE2983" w:rsidRPr="000E34C1">
        <w:rPr>
          <w:rFonts w:ascii="Tahoma" w:hAnsi="Tahoma" w:cs="Tahoma"/>
          <w:sz w:val="24"/>
          <w:szCs w:val="24"/>
        </w:rPr>
        <w:t xml:space="preserve">consumer </w:t>
      </w:r>
      <w:r w:rsidR="009356CE" w:rsidRPr="000E34C1">
        <w:rPr>
          <w:rFonts w:ascii="Tahoma" w:hAnsi="Tahoma" w:cs="Tahoma"/>
          <w:sz w:val="24"/>
          <w:szCs w:val="24"/>
        </w:rPr>
        <w:t xml:space="preserve">who </w:t>
      </w:r>
      <w:r w:rsidR="0082450D" w:rsidRPr="000E34C1">
        <w:rPr>
          <w:rFonts w:ascii="Tahoma" w:hAnsi="Tahoma" w:cs="Tahoma"/>
          <w:sz w:val="24"/>
          <w:szCs w:val="24"/>
        </w:rPr>
        <w:t xml:space="preserve">makes the decision to switch. For example the Wick District Heating Scheme was taken over by </w:t>
      </w:r>
      <w:proofErr w:type="spellStart"/>
      <w:r w:rsidR="0082450D" w:rsidRPr="000E34C1">
        <w:rPr>
          <w:rFonts w:ascii="Tahoma" w:hAnsi="Tahoma" w:cs="Tahoma"/>
          <w:sz w:val="24"/>
          <w:szCs w:val="24"/>
        </w:rPr>
        <w:t>Ignis</w:t>
      </w:r>
      <w:proofErr w:type="spellEnd"/>
      <w:r w:rsidR="0082450D" w:rsidRPr="000E34C1">
        <w:rPr>
          <w:rFonts w:ascii="Tahoma" w:hAnsi="Tahoma" w:cs="Tahoma"/>
          <w:sz w:val="24"/>
          <w:szCs w:val="24"/>
        </w:rPr>
        <w:t xml:space="preserve"> Energy in 2012, but this was only after the scheme had failed and high costs had been incurred</w:t>
      </w:r>
      <w:r w:rsidR="009356CE" w:rsidRPr="000E34C1">
        <w:rPr>
          <w:rFonts w:ascii="Tahoma" w:hAnsi="Tahoma" w:cs="Tahoma"/>
          <w:sz w:val="24"/>
          <w:szCs w:val="24"/>
        </w:rPr>
        <w:t>.</w:t>
      </w:r>
      <w:r w:rsidR="00D044D9" w:rsidRPr="000E34C1">
        <w:rPr>
          <w:rStyle w:val="FootnoteReference"/>
          <w:rFonts w:ascii="Tahoma" w:hAnsi="Tahoma" w:cs="Tahoma"/>
          <w:sz w:val="24"/>
          <w:szCs w:val="24"/>
        </w:rPr>
        <w:footnoteReference w:id="18"/>
      </w:r>
      <w:r w:rsidR="00685552" w:rsidRPr="000E34C1">
        <w:rPr>
          <w:rFonts w:ascii="Tahoma" w:hAnsi="Tahoma" w:cs="Tahoma"/>
          <w:sz w:val="24"/>
          <w:szCs w:val="24"/>
        </w:rPr>
        <w:t xml:space="preserve"> The district heating supplier</w:t>
      </w:r>
      <w:r w:rsidR="009356CE" w:rsidRPr="000E34C1">
        <w:rPr>
          <w:rFonts w:ascii="Tahoma" w:hAnsi="Tahoma" w:cs="Tahoma"/>
          <w:sz w:val="24"/>
          <w:szCs w:val="24"/>
        </w:rPr>
        <w:t xml:space="preserve"> may</w:t>
      </w:r>
      <w:r w:rsidR="00BE2983" w:rsidRPr="000E34C1">
        <w:rPr>
          <w:rFonts w:ascii="Tahoma" w:hAnsi="Tahoma" w:cs="Tahoma"/>
          <w:sz w:val="24"/>
          <w:szCs w:val="24"/>
        </w:rPr>
        <w:t xml:space="preserve"> </w:t>
      </w:r>
      <w:r w:rsidR="00685552" w:rsidRPr="000E34C1">
        <w:rPr>
          <w:rFonts w:ascii="Tahoma" w:hAnsi="Tahoma" w:cs="Tahoma"/>
          <w:sz w:val="24"/>
          <w:szCs w:val="24"/>
        </w:rPr>
        <w:t xml:space="preserve">collectively change </w:t>
      </w:r>
      <w:r w:rsidR="00460B82">
        <w:rPr>
          <w:rFonts w:ascii="Tahoma" w:hAnsi="Tahoma" w:cs="Tahoma"/>
          <w:sz w:val="24"/>
          <w:szCs w:val="24"/>
        </w:rPr>
        <w:t>for consumer</w:t>
      </w:r>
      <w:r w:rsidR="00AA4D3B">
        <w:rPr>
          <w:rFonts w:ascii="Tahoma" w:hAnsi="Tahoma" w:cs="Tahoma"/>
          <w:sz w:val="24"/>
          <w:szCs w:val="24"/>
        </w:rPr>
        <w:t>s</w:t>
      </w:r>
      <w:r w:rsidR="00460B82">
        <w:rPr>
          <w:rFonts w:ascii="Tahoma" w:hAnsi="Tahoma" w:cs="Tahoma"/>
          <w:sz w:val="24"/>
          <w:szCs w:val="24"/>
        </w:rPr>
        <w:t xml:space="preserve"> </w:t>
      </w:r>
      <w:r w:rsidR="00685552" w:rsidRPr="000E34C1">
        <w:rPr>
          <w:rFonts w:ascii="Tahoma" w:hAnsi="Tahoma" w:cs="Tahoma"/>
          <w:sz w:val="24"/>
          <w:szCs w:val="24"/>
        </w:rPr>
        <w:t>when</w:t>
      </w:r>
      <w:r w:rsidR="009356CE" w:rsidRPr="000E34C1">
        <w:rPr>
          <w:rFonts w:ascii="Tahoma" w:hAnsi="Tahoma" w:cs="Tahoma"/>
          <w:sz w:val="24"/>
          <w:szCs w:val="24"/>
        </w:rPr>
        <w:t xml:space="preserve"> difficulties</w:t>
      </w:r>
      <w:r w:rsidR="00685552" w:rsidRPr="000E34C1">
        <w:rPr>
          <w:rFonts w:ascii="Tahoma" w:hAnsi="Tahoma" w:cs="Tahoma"/>
          <w:sz w:val="24"/>
          <w:szCs w:val="24"/>
        </w:rPr>
        <w:t xml:space="preserve"> arise</w:t>
      </w:r>
      <w:r w:rsidR="009356CE" w:rsidRPr="000E34C1">
        <w:rPr>
          <w:rFonts w:ascii="Tahoma" w:hAnsi="Tahoma" w:cs="Tahoma"/>
          <w:sz w:val="24"/>
          <w:szCs w:val="24"/>
        </w:rPr>
        <w:t xml:space="preserve">, but </w:t>
      </w:r>
      <w:r w:rsidR="00460B82">
        <w:rPr>
          <w:rFonts w:ascii="Tahoma" w:hAnsi="Tahoma" w:cs="Tahoma"/>
          <w:sz w:val="24"/>
          <w:szCs w:val="24"/>
        </w:rPr>
        <w:t>individual</w:t>
      </w:r>
      <w:r w:rsidR="00BE2983" w:rsidRPr="000E34C1">
        <w:rPr>
          <w:rFonts w:ascii="Tahoma" w:hAnsi="Tahoma" w:cs="Tahoma"/>
          <w:sz w:val="24"/>
          <w:szCs w:val="24"/>
        </w:rPr>
        <w:t xml:space="preserve"> </w:t>
      </w:r>
      <w:r w:rsidR="009356CE" w:rsidRPr="000E34C1">
        <w:rPr>
          <w:rFonts w:ascii="Tahoma" w:hAnsi="Tahoma" w:cs="Tahoma"/>
          <w:sz w:val="24"/>
          <w:szCs w:val="24"/>
        </w:rPr>
        <w:t>switching to get a better price or</w:t>
      </w:r>
      <w:r w:rsidR="00460B82">
        <w:rPr>
          <w:rFonts w:ascii="Tahoma" w:hAnsi="Tahoma" w:cs="Tahoma"/>
          <w:sz w:val="24"/>
          <w:szCs w:val="24"/>
        </w:rPr>
        <w:t xml:space="preserve"> improved</w:t>
      </w:r>
      <w:r w:rsidR="009356CE" w:rsidRPr="000E34C1">
        <w:rPr>
          <w:rFonts w:ascii="Tahoma" w:hAnsi="Tahoma" w:cs="Tahoma"/>
          <w:sz w:val="24"/>
          <w:szCs w:val="24"/>
        </w:rPr>
        <w:t xml:space="preserve"> service remains problematic.</w:t>
      </w:r>
    </w:p>
    <w:p w:rsidR="00924740" w:rsidRPr="000E34C1" w:rsidRDefault="00924740" w:rsidP="000E34C1">
      <w:pPr>
        <w:autoSpaceDE w:val="0"/>
        <w:autoSpaceDN w:val="0"/>
        <w:adjustRightInd w:val="0"/>
        <w:spacing w:after="0" w:line="240" w:lineRule="auto"/>
        <w:jc w:val="both"/>
        <w:rPr>
          <w:rFonts w:ascii="Tahoma" w:hAnsi="Tahoma" w:cs="Tahoma"/>
          <w:b/>
          <w:sz w:val="24"/>
          <w:szCs w:val="24"/>
        </w:rPr>
      </w:pPr>
    </w:p>
    <w:p w:rsidR="00924740" w:rsidRPr="000E34C1" w:rsidRDefault="00924740" w:rsidP="000E34C1">
      <w:pPr>
        <w:pStyle w:val="ListParagraph"/>
        <w:numPr>
          <w:ilvl w:val="0"/>
          <w:numId w:val="1"/>
        </w:numPr>
        <w:autoSpaceDE w:val="0"/>
        <w:autoSpaceDN w:val="0"/>
        <w:adjustRightInd w:val="0"/>
        <w:spacing w:after="0" w:line="240" w:lineRule="auto"/>
        <w:jc w:val="both"/>
        <w:rPr>
          <w:rFonts w:ascii="Tahoma" w:hAnsi="Tahoma" w:cs="Tahoma"/>
          <w:b/>
          <w:sz w:val="24"/>
          <w:szCs w:val="24"/>
        </w:rPr>
      </w:pPr>
      <w:r w:rsidRPr="000E34C1">
        <w:rPr>
          <w:rFonts w:ascii="Tahoma" w:hAnsi="Tahoma" w:cs="Tahoma"/>
          <w:b/>
          <w:sz w:val="24"/>
          <w:szCs w:val="24"/>
        </w:rPr>
        <w:t>To what extent are consumers able to switch from their current heat network providers to alternative heat network operators or to alternative heat sources?</w:t>
      </w:r>
    </w:p>
    <w:p w:rsidR="009356CE" w:rsidRPr="000E34C1" w:rsidRDefault="009356CE" w:rsidP="000E34C1">
      <w:pPr>
        <w:autoSpaceDE w:val="0"/>
        <w:autoSpaceDN w:val="0"/>
        <w:adjustRightInd w:val="0"/>
        <w:spacing w:after="0" w:line="240" w:lineRule="auto"/>
        <w:jc w:val="both"/>
        <w:rPr>
          <w:rFonts w:ascii="Tahoma" w:hAnsi="Tahoma" w:cs="Tahoma"/>
          <w:b/>
          <w:sz w:val="24"/>
          <w:szCs w:val="24"/>
        </w:rPr>
      </w:pPr>
    </w:p>
    <w:p w:rsidR="009356CE" w:rsidRPr="000E34C1" w:rsidRDefault="009356CE" w:rsidP="000E34C1">
      <w:pPr>
        <w:autoSpaceDE w:val="0"/>
        <w:autoSpaceDN w:val="0"/>
        <w:adjustRightInd w:val="0"/>
        <w:spacing w:after="0" w:line="240" w:lineRule="auto"/>
        <w:jc w:val="both"/>
        <w:rPr>
          <w:rFonts w:ascii="Tahoma" w:hAnsi="Tahoma" w:cs="Tahoma"/>
          <w:sz w:val="24"/>
          <w:szCs w:val="24"/>
        </w:rPr>
      </w:pPr>
      <w:r w:rsidRPr="000E34C1">
        <w:rPr>
          <w:rFonts w:ascii="Tahoma" w:hAnsi="Tahoma" w:cs="Tahoma"/>
          <w:sz w:val="24"/>
          <w:szCs w:val="24"/>
        </w:rPr>
        <w:t xml:space="preserve">The legal opinion obtained as part of </w:t>
      </w:r>
      <w:r w:rsidR="00BE2983" w:rsidRPr="000E34C1">
        <w:rPr>
          <w:rFonts w:ascii="Tahoma" w:hAnsi="Tahoma" w:cs="Tahoma"/>
          <w:sz w:val="24"/>
          <w:szCs w:val="24"/>
        </w:rPr>
        <w:t>our research stated</w:t>
      </w:r>
      <w:r w:rsidR="005D2358" w:rsidRPr="000E34C1">
        <w:rPr>
          <w:rFonts w:ascii="Tahoma" w:hAnsi="Tahoma" w:cs="Tahoma"/>
          <w:sz w:val="24"/>
          <w:szCs w:val="24"/>
        </w:rPr>
        <w:t xml:space="preserve"> that district heating consumers technically have a legal right to switch, but this right is not reflected in reality. </w:t>
      </w:r>
      <w:r w:rsidR="00BE2983" w:rsidRPr="000E34C1">
        <w:rPr>
          <w:rFonts w:ascii="Tahoma" w:hAnsi="Tahoma" w:cs="Tahoma"/>
          <w:sz w:val="24"/>
          <w:szCs w:val="24"/>
        </w:rPr>
        <w:t>John Campbell QC</w:t>
      </w:r>
      <w:r w:rsidR="00ED00A8" w:rsidRPr="000E34C1">
        <w:rPr>
          <w:rFonts w:ascii="Tahoma" w:hAnsi="Tahoma" w:cs="Tahoma"/>
          <w:sz w:val="24"/>
          <w:szCs w:val="24"/>
        </w:rPr>
        <w:t xml:space="preserve"> </w:t>
      </w:r>
      <w:r w:rsidR="00BE2983" w:rsidRPr="000E34C1">
        <w:rPr>
          <w:rFonts w:ascii="Tahoma" w:hAnsi="Tahoma" w:cs="Tahoma"/>
          <w:sz w:val="24"/>
          <w:szCs w:val="24"/>
        </w:rPr>
        <w:t>wrote</w:t>
      </w:r>
      <w:r w:rsidR="005D2358" w:rsidRPr="000E34C1">
        <w:rPr>
          <w:rFonts w:ascii="Tahoma" w:hAnsi="Tahoma" w:cs="Tahoma"/>
          <w:sz w:val="24"/>
          <w:szCs w:val="24"/>
        </w:rPr>
        <w:t xml:space="preserve">: </w:t>
      </w:r>
    </w:p>
    <w:p w:rsidR="005D2358" w:rsidRPr="000E34C1" w:rsidRDefault="005D2358" w:rsidP="000E34C1">
      <w:pPr>
        <w:autoSpaceDE w:val="0"/>
        <w:autoSpaceDN w:val="0"/>
        <w:adjustRightInd w:val="0"/>
        <w:spacing w:after="0" w:line="240" w:lineRule="auto"/>
        <w:jc w:val="both"/>
        <w:rPr>
          <w:rFonts w:ascii="Tahoma" w:hAnsi="Tahoma" w:cs="Tahoma"/>
          <w:sz w:val="24"/>
          <w:szCs w:val="24"/>
        </w:rPr>
      </w:pPr>
    </w:p>
    <w:p w:rsidR="005D2358" w:rsidRPr="000E34C1" w:rsidRDefault="005D2358" w:rsidP="000E34C1">
      <w:pPr>
        <w:autoSpaceDE w:val="0"/>
        <w:autoSpaceDN w:val="0"/>
        <w:adjustRightInd w:val="0"/>
        <w:spacing w:after="0" w:line="240" w:lineRule="auto"/>
        <w:jc w:val="both"/>
        <w:rPr>
          <w:rFonts w:ascii="Tahoma" w:hAnsi="Tahoma" w:cs="Tahoma"/>
          <w:sz w:val="24"/>
          <w:szCs w:val="24"/>
        </w:rPr>
      </w:pPr>
      <w:r w:rsidRPr="000E34C1">
        <w:rPr>
          <w:rFonts w:ascii="Tahoma" w:hAnsi="Tahoma" w:cs="Tahoma"/>
          <w:i/>
          <w:sz w:val="24"/>
          <w:szCs w:val="24"/>
        </w:rPr>
        <w:t>‘However, the “right to switch” supplier will be problematic, because by its nature a DHS means that there is a monopoly supplier, whatever the scale – a few houses, or an entire village or town. The option in the licence would have to be a right to discontinue/terminate and to provide an alternative supply for oneself.’</w:t>
      </w:r>
      <w:r w:rsidR="00D044D9" w:rsidRPr="000E34C1">
        <w:rPr>
          <w:rStyle w:val="FootnoteReference"/>
          <w:rFonts w:ascii="Tahoma" w:hAnsi="Tahoma" w:cs="Tahoma"/>
          <w:i/>
          <w:sz w:val="24"/>
          <w:szCs w:val="24"/>
        </w:rPr>
        <w:footnoteReference w:id="19"/>
      </w:r>
    </w:p>
    <w:p w:rsidR="005D2358" w:rsidRPr="000E34C1" w:rsidRDefault="005D2358" w:rsidP="000E34C1">
      <w:pPr>
        <w:autoSpaceDE w:val="0"/>
        <w:autoSpaceDN w:val="0"/>
        <w:adjustRightInd w:val="0"/>
        <w:spacing w:after="0" w:line="240" w:lineRule="auto"/>
        <w:jc w:val="both"/>
        <w:rPr>
          <w:rFonts w:ascii="Tahoma" w:hAnsi="Tahoma" w:cs="Tahoma"/>
          <w:sz w:val="24"/>
          <w:szCs w:val="24"/>
        </w:rPr>
      </w:pPr>
    </w:p>
    <w:p w:rsidR="00BE2983" w:rsidRPr="000E34C1" w:rsidRDefault="005D2358" w:rsidP="000E34C1">
      <w:pPr>
        <w:autoSpaceDE w:val="0"/>
        <w:autoSpaceDN w:val="0"/>
        <w:adjustRightInd w:val="0"/>
        <w:spacing w:after="0" w:line="240" w:lineRule="auto"/>
        <w:jc w:val="both"/>
        <w:rPr>
          <w:rFonts w:ascii="Tahoma" w:hAnsi="Tahoma" w:cs="Tahoma"/>
          <w:sz w:val="24"/>
          <w:szCs w:val="24"/>
        </w:rPr>
      </w:pPr>
      <w:r w:rsidRPr="000E34C1">
        <w:rPr>
          <w:rFonts w:ascii="Tahoma" w:hAnsi="Tahoma" w:cs="Tahoma"/>
          <w:sz w:val="24"/>
          <w:szCs w:val="24"/>
        </w:rPr>
        <w:t xml:space="preserve">Consumers who bring complaints </w:t>
      </w:r>
      <w:r w:rsidR="00ED00A8" w:rsidRPr="000E34C1">
        <w:rPr>
          <w:rFonts w:ascii="Tahoma" w:hAnsi="Tahoma" w:cs="Tahoma"/>
          <w:sz w:val="24"/>
          <w:szCs w:val="24"/>
        </w:rPr>
        <w:t xml:space="preserve">to </w:t>
      </w:r>
      <w:r w:rsidRPr="000E34C1">
        <w:rPr>
          <w:rFonts w:ascii="Tahoma" w:hAnsi="Tahoma" w:cs="Tahoma"/>
          <w:sz w:val="24"/>
          <w:szCs w:val="24"/>
        </w:rPr>
        <w:t xml:space="preserve">Citizens Advice Bureaux regarding negative experience of district heating schemes </w:t>
      </w:r>
      <w:r w:rsidR="009523FD" w:rsidRPr="000E34C1">
        <w:rPr>
          <w:rFonts w:ascii="Tahoma" w:hAnsi="Tahoma" w:cs="Tahoma"/>
          <w:sz w:val="24"/>
          <w:szCs w:val="24"/>
        </w:rPr>
        <w:t>can be</w:t>
      </w:r>
      <w:r w:rsidRPr="000E34C1">
        <w:rPr>
          <w:rFonts w:ascii="Tahoma" w:hAnsi="Tahoma" w:cs="Tahoma"/>
          <w:sz w:val="24"/>
          <w:szCs w:val="24"/>
        </w:rPr>
        <w:t xml:space="preserve"> surprised that </w:t>
      </w:r>
      <w:r w:rsidR="00BE2983" w:rsidRPr="000E34C1">
        <w:rPr>
          <w:rFonts w:ascii="Tahoma" w:hAnsi="Tahoma" w:cs="Tahoma"/>
          <w:sz w:val="24"/>
          <w:szCs w:val="24"/>
        </w:rPr>
        <w:t>they cannot</w:t>
      </w:r>
      <w:r w:rsidRPr="000E34C1">
        <w:rPr>
          <w:rFonts w:ascii="Tahoma" w:hAnsi="Tahoma" w:cs="Tahoma"/>
          <w:sz w:val="24"/>
          <w:szCs w:val="24"/>
        </w:rPr>
        <w:t xml:space="preserve"> switch supplier. For example, one adviser noted</w:t>
      </w:r>
      <w:r w:rsidR="00BE2983" w:rsidRPr="000E34C1">
        <w:rPr>
          <w:rFonts w:ascii="Tahoma" w:hAnsi="Tahoma" w:cs="Tahoma"/>
          <w:sz w:val="24"/>
          <w:szCs w:val="24"/>
        </w:rPr>
        <w:t>:</w:t>
      </w:r>
    </w:p>
    <w:p w:rsidR="00BE2983" w:rsidRPr="000E34C1" w:rsidRDefault="00BE2983" w:rsidP="000E34C1">
      <w:pPr>
        <w:autoSpaceDE w:val="0"/>
        <w:autoSpaceDN w:val="0"/>
        <w:adjustRightInd w:val="0"/>
        <w:spacing w:after="0" w:line="240" w:lineRule="auto"/>
        <w:jc w:val="both"/>
        <w:rPr>
          <w:rFonts w:ascii="Tahoma" w:hAnsi="Tahoma" w:cs="Tahoma"/>
          <w:sz w:val="24"/>
          <w:szCs w:val="24"/>
        </w:rPr>
      </w:pPr>
    </w:p>
    <w:p w:rsidR="005D2358" w:rsidRPr="000E34C1" w:rsidRDefault="005D2358" w:rsidP="000E34C1">
      <w:pPr>
        <w:autoSpaceDE w:val="0"/>
        <w:autoSpaceDN w:val="0"/>
        <w:adjustRightInd w:val="0"/>
        <w:spacing w:after="0" w:line="240" w:lineRule="auto"/>
        <w:jc w:val="both"/>
        <w:rPr>
          <w:rFonts w:ascii="Tahoma" w:hAnsi="Tahoma" w:cs="Tahoma"/>
          <w:i/>
          <w:sz w:val="24"/>
          <w:szCs w:val="24"/>
        </w:rPr>
      </w:pPr>
      <w:r w:rsidRPr="000E34C1">
        <w:rPr>
          <w:rFonts w:ascii="Tahoma" w:hAnsi="Tahoma" w:cs="Tahoma"/>
          <w:i/>
          <w:sz w:val="24"/>
          <w:szCs w:val="24"/>
        </w:rPr>
        <w:t xml:space="preserve"> ‘[The] Client is frustrated as no cl</w:t>
      </w:r>
      <w:r w:rsidR="00ED00A8" w:rsidRPr="000E34C1">
        <w:rPr>
          <w:rFonts w:ascii="Tahoma" w:hAnsi="Tahoma" w:cs="Tahoma"/>
          <w:i/>
          <w:sz w:val="24"/>
          <w:szCs w:val="24"/>
        </w:rPr>
        <w:t>ear options to stop the landlor</w:t>
      </w:r>
      <w:r w:rsidRPr="000E34C1">
        <w:rPr>
          <w:rFonts w:ascii="Tahoma" w:hAnsi="Tahoma" w:cs="Tahoma"/>
          <w:i/>
          <w:sz w:val="24"/>
          <w:szCs w:val="24"/>
        </w:rPr>
        <w:t>d charging unfair rates seem to be available.’</w:t>
      </w:r>
    </w:p>
    <w:p w:rsidR="009523FD" w:rsidRPr="000E34C1" w:rsidRDefault="009523FD" w:rsidP="000E34C1">
      <w:pPr>
        <w:autoSpaceDE w:val="0"/>
        <w:autoSpaceDN w:val="0"/>
        <w:adjustRightInd w:val="0"/>
        <w:spacing w:after="0" w:line="240" w:lineRule="auto"/>
        <w:jc w:val="both"/>
        <w:rPr>
          <w:rFonts w:ascii="Tahoma" w:hAnsi="Tahoma" w:cs="Tahoma"/>
          <w:sz w:val="24"/>
          <w:szCs w:val="24"/>
        </w:rPr>
      </w:pPr>
    </w:p>
    <w:p w:rsidR="009523FD" w:rsidRPr="000E34C1" w:rsidRDefault="009523FD" w:rsidP="000E34C1">
      <w:pPr>
        <w:autoSpaceDE w:val="0"/>
        <w:autoSpaceDN w:val="0"/>
        <w:adjustRightInd w:val="0"/>
        <w:spacing w:after="0" w:line="240" w:lineRule="auto"/>
        <w:jc w:val="both"/>
        <w:rPr>
          <w:rFonts w:ascii="Tahoma" w:hAnsi="Tahoma" w:cs="Tahoma"/>
          <w:sz w:val="24"/>
          <w:szCs w:val="24"/>
        </w:rPr>
      </w:pPr>
      <w:r w:rsidRPr="000E34C1">
        <w:rPr>
          <w:rFonts w:ascii="Tahoma" w:hAnsi="Tahoma" w:cs="Tahoma"/>
          <w:sz w:val="24"/>
          <w:szCs w:val="24"/>
        </w:rPr>
        <w:t xml:space="preserve">This was echoed by one </w:t>
      </w:r>
      <w:r w:rsidR="00BE2983" w:rsidRPr="000E34C1">
        <w:rPr>
          <w:rFonts w:ascii="Tahoma" w:hAnsi="Tahoma" w:cs="Tahoma"/>
          <w:sz w:val="24"/>
          <w:szCs w:val="24"/>
        </w:rPr>
        <w:t xml:space="preserve">social housing tenant interviewed by </w:t>
      </w:r>
      <w:proofErr w:type="spellStart"/>
      <w:r w:rsidR="00BE2983" w:rsidRPr="000E34C1">
        <w:rPr>
          <w:rFonts w:ascii="Tahoma" w:hAnsi="Tahoma" w:cs="Tahoma"/>
          <w:sz w:val="24"/>
          <w:szCs w:val="24"/>
        </w:rPr>
        <w:t>Changeworks</w:t>
      </w:r>
      <w:proofErr w:type="spellEnd"/>
      <w:r w:rsidR="00BE2983" w:rsidRPr="000E34C1">
        <w:rPr>
          <w:rFonts w:ascii="Tahoma" w:hAnsi="Tahoma" w:cs="Tahoma"/>
          <w:sz w:val="24"/>
          <w:szCs w:val="24"/>
        </w:rPr>
        <w:t xml:space="preserve"> who said</w:t>
      </w:r>
      <w:r w:rsidRPr="000E34C1">
        <w:rPr>
          <w:rFonts w:ascii="Tahoma" w:hAnsi="Tahoma" w:cs="Tahoma"/>
          <w:sz w:val="24"/>
          <w:szCs w:val="24"/>
        </w:rPr>
        <w:t>:</w:t>
      </w:r>
    </w:p>
    <w:p w:rsidR="009523FD" w:rsidRPr="000E34C1" w:rsidRDefault="009523FD" w:rsidP="000E34C1">
      <w:pPr>
        <w:autoSpaceDE w:val="0"/>
        <w:autoSpaceDN w:val="0"/>
        <w:adjustRightInd w:val="0"/>
        <w:spacing w:after="0" w:line="240" w:lineRule="auto"/>
        <w:jc w:val="both"/>
        <w:rPr>
          <w:rFonts w:ascii="Tahoma" w:hAnsi="Tahoma" w:cs="Tahoma"/>
          <w:sz w:val="24"/>
          <w:szCs w:val="24"/>
        </w:rPr>
      </w:pPr>
    </w:p>
    <w:p w:rsidR="009523FD" w:rsidRPr="000E34C1" w:rsidRDefault="009523FD" w:rsidP="000E34C1">
      <w:pPr>
        <w:autoSpaceDE w:val="0"/>
        <w:autoSpaceDN w:val="0"/>
        <w:adjustRightInd w:val="0"/>
        <w:spacing w:after="0" w:line="240" w:lineRule="auto"/>
        <w:jc w:val="both"/>
        <w:rPr>
          <w:rFonts w:ascii="Tahoma" w:hAnsi="Tahoma" w:cs="Tahoma"/>
          <w:i/>
          <w:sz w:val="24"/>
          <w:szCs w:val="24"/>
        </w:rPr>
      </w:pPr>
      <w:r w:rsidRPr="000E34C1">
        <w:rPr>
          <w:rFonts w:ascii="Tahoma" w:hAnsi="Tahoma" w:cs="Tahoma"/>
          <w:i/>
          <w:sz w:val="24"/>
          <w:szCs w:val="24"/>
        </w:rPr>
        <w:t>‘I don’t understand how in this day and age with consumer laws I don’t understand how you can be tied into one supplier and for them to be able to set their rates at whatever they want, there should be something in place that forces them to set their rates competitively, there should be a limit to what they can set it at… if they are meant to be delivering better value then there should be some sort of body that says there should be a maximum rate that they can charge.’</w:t>
      </w:r>
      <w:r w:rsidRPr="000E34C1">
        <w:rPr>
          <w:rStyle w:val="FootnoteReference"/>
          <w:rFonts w:ascii="Tahoma" w:hAnsi="Tahoma" w:cs="Tahoma"/>
          <w:i/>
          <w:sz w:val="24"/>
          <w:szCs w:val="24"/>
        </w:rPr>
        <w:footnoteReference w:id="20"/>
      </w:r>
    </w:p>
    <w:p w:rsidR="009523FD" w:rsidRPr="000E34C1" w:rsidRDefault="009523FD" w:rsidP="000E34C1">
      <w:pPr>
        <w:autoSpaceDE w:val="0"/>
        <w:autoSpaceDN w:val="0"/>
        <w:adjustRightInd w:val="0"/>
        <w:spacing w:after="0" w:line="240" w:lineRule="auto"/>
        <w:jc w:val="both"/>
        <w:rPr>
          <w:rFonts w:ascii="Tahoma" w:hAnsi="Tahoma" w:cs="Tahoma"/>
          <w:sz w:val="24"/>
          <w:szCs w:val="24"/>
        </w:rPr>
      </w:pPr>
    </w:p>
    <w:p w:rsidR="009523FD" w:rsidRPr="000E34C1" w:rsidRDefault="00BE2983" w:rsidP="000E34C1">
      <w:pPr>
        <w:autoSpaceDE w:val="0"/>
        <w:autoSpaceDN w:val="0"/>
        <w:adjustRightInd w:val="0"/>
        <w:spacing w:after="0" w:line="240" w:lineRule="auto"/>
        <w:jc w:val="both"/>
        <w:rPr>
          <w:rFonts w:ascii="Tahoma" w:hAnsi="Tahoma" w:cs="Tahoma"/>
          <w:sz w:val="24"/>
          <w:szCs w:val="24"/>
        </w:rPr>
      </w:pPr>
      <w:r w:rsidRPr="000E34C1">
        <w:rPr>
          <w:rFonts w:ascii="Tahoma" w:hAnsi="Tahoma" w:cs="Tahoma"/>
          <w:sz w:val="24"/>
          <w:szCs w:val="24"/>
        </w:rPr>
        <w:t>While</w:t>
      </w:r>
      <w:r w:rsidR="00C07ADB" w:rsidRPr="000E34C1">
        <w:rPr>
          <w:rFonts w:ascii="Tahoma" w:hAnsi="Tahoma" w:cs="Tahoma"/>
          <w:sz w:val="24"/>
          <w:szCs w:val="24"/>
        </w:rPr>
        <w:t xml:space="preserve"> </w:t>
      </w:r>
      <w:r w:rsidR="00770D23">
        <w:rPr>
          <w:rFonts w:ascii="Tahoma" w:hAnsi="Tahoma" w:cs="Tahoma"/>
          <w:sz w:val="24"/>
          <w:szCs w:val="24"/>
        </w:rPr>
        <w:t xml:space="preserve">some of </w:t>
      </w:r>
      <w:r w:rsidR="00C07ADB" w:rsidRPr="000E34C1">
        <w:rPr>
          <w:rFonts w:ascii="Tahoma" w:hAnsi="Tahoma" w:cs="Tahoma"/>
          <w:sz w:val="24"/>
          <w:szCs w:val="24"/>
        </w:rPr>
        <w:t>the</w:t>
      </w:r>
      <w:r w:rsidR="00770D23">
        <w:rPr>
          <w:rFonts w:ascii="Tahoma" w:hAnsi="Tahoma" w:cs="Tahoma"/>
          <w:sz w:val="24"/>
          <w:szCs w:val="24"/>
        </w:rPr>
        <w:t xml:space="preserve"> remedies from the</w:t>
      </w:r>
      <w:r w:rsidR="00C07ADB" w:rsidRPr="000E34C1">
        <w:rPr>
          <w:rFonts w:ascii="Tahoma" w:hAnsi="Tahoma" w:cs="Tahoma"/>
          <w:sz w:val="24"/>
          <w:szCs w:val="24"/>
        </w:rPr>
        <w:t xml:space="preserve"> CMA’s Energy Market Review look to encourage switching by gas and electricity consumers, district heating consumers face a lack of choice. If a consumer does choose to disconnect from district heating, alternative heating is likely to be expensive, particularly for tenants who can make fewer</w:t>
      </w:r>
      <w:r w:rsidR="00685552" w:rsidRPr="000E34C1">
        <w:rPr>
          <w:rFonts w:ascii="Tahoma" w:hAnsi="Tahoma" w:cs="Tahoma"/>
          <w:sz w:val="24"/>
          <w:szCs w:val="24"/>
        </w:rPr>
        <w:t xml:space="preserve"> infrastructure</w:t>
      </w:r>
      <w:r w:rsidR="00C07ADB" w:rsidRPr="000E34C1">
        <w:rPr>
          <w:rFonts w:ascii="Tahoma" w:hAnsi="Tahoma" w:cs="Tahoma"/>
          <w:sz w:val="24"/>
          <w:szCs w:val="24"/>
        </w:rPr>
        <w:t xml:space="preserve"> changes and may </w:t>
      </w:r>
      <w:r w:rsidR="00685552" w:rsidRPr="000E34C1">
        <w:rPr>
          <w:rFonts w:ascii="Tahoma" w:hAnsi="Tahoma" w:cs="Tahoma"/>
          <w:sz w:val="24"/>
          <w:szCs w:val="24"/>
        </w:rPr>
        <w:t xml:space="preserve">even become </w:t>
      </w:r>
      <w:r w:rsidR="00C07ADB" w:rsidRPr="000E34C1">
        <w:rPr>
          <w:rFonts w:ascii="Tahoma" w:hAnsi="Tahoma" w:cs="Tahoma"/>
          <w:sz w:val="24"/>
          <w:szCs w:val="24"/>
        </w:rPr>
        <w:t>reliant on plug</w:t>
      </w:r>
      <w:r w:rsidR="00685552" w:rsidRPr="000E34C1">
        <w:rPr>
          <w:rFonts w:ascii="Tahoma" w:hAnsi="Tahoma" w:cs="Tahoma"/>
          <w:sz w:val="24"/>
          <w:szCs w:val="24"/>
        </w:rPr>
        <w:t>-</w:t>
      </w:r>
      <w:r w:rsidR="00C07ADB" w:rsidRPr="000E34C1">
        <w:rPr>
          <w:rFonts w:ascii="Tahoma" w:hAnsi="Tahoma" w:cs="Tahoma"/>
          <w:sz w:val="24"/>
          <w:szCs w:val="24"/>
        </w:rPr>
        <w:t>in electric heaters.</w:t>
      </w:r>
    </w:p>
    <w:p w:rsidR="00801FF5" w:rsidRPr="000E34C1" w:rsidRDefault="00801FF5" w:rsidP="000E34C1">
      <w:pPr>
        <w:autoSpaceDE w:val="0"/>
        <w:autoSpaceDN w:val="0"/>
        <w:adjustRightInd w:val="0"/>
        <w:spacing w:after="0" w:line="240" w:lineRule="auto"/>
        <w:jc w:val="both"/>
        <w:rPr>
          <w:rFonts w:ascii="Tahoma" w:hAnsi="Tahoma" w:cs="Tahoma"/>
          <w:sz w:val="24"/>
          <w:szCs w:val="24"/>
        </w:rPr>
      </w:pPr>
    </w:p>
    <w:p w:rsidR="00C07ADB" w:rsidRPr="000E34C1" w:rsidRDefault="00C07ADB" w:rsidP="000E34C1">
      <w:pPr>
        <w:autoSpaceDE w:val="0"/>
        <w:autoSpaceDN w:val="0"/>
        <w:adjustRightInd w:val="0"/>
        <w:spacing w:after="0" w:line="240" w:lineRule="auto"/>
        <w:jc w:val="both"/>
        <w:rPr>
          <w:rFonts w:ascii="Tahoma" w:hAnsi="Tahoma" w:cs="Tahoma"/>
          <w:sz w:val="24"/>
          <w:szCs w:val="24"/>
        </w:rPr>
      </w:pPr>
    </w:p>
    <w:p w:rsidR="00C07ADB" w:rsidRPr="000E34C1" w:rsidRDefault="00C07ADB" w:rsidP="000E34C1">
      <w:pPr>
        <w:pStyle w:val="ListParagraph"/>
        <w:numPr>
          <w:ilvl w:val="0"/>
          <w:numId w:val="1"/>
        </w:numPr>
        <w:autoSpaceDE w:val="0"/>
        <w:autoSpaceDN w:val="0"/>
        <w:adjustRightInd w:val="0"/>
        <w:spacing w:after="0" w:line="240" w:lineRule="auto"/>
        <w:jc w:val="both"/>
        <w:rPr>
          <w:rFonts w:ascii="Tahoma" w:hAnsi="Tahoma" w:cs="Tahoma"/>
          <w:b/>
          <w:sz w:val="24"/>
          <w:szCs w:val="24"/>
        </w:rPr>
      </w:pPr>
      <w:r w:rsidRPr="000E34C1">
        <w:rPr>
          <w:rFonts w:ascii="Tahoma" w:hAnsi="Tahoma" w:cs="Tahoma"/>
          <w:b/>
          <w:sz w:val="24"/>
          <w:szCs w:val="24"/>
        </w:rPr>
        <w:t>What are the key factors (contractual and / or technological) impeding consumers from switching?</w:t>
      </w:r>
    </w:p>
    <w:p w:rsidR="002222C9" w:rsidRPr="000E34C1" w:rsidRDefault="002222C9" w:rsidP="000E34C1">
      <w:pPr>
        <w:autoSpaceDE w:val="0"/>
        <w:autoSpaceDN w:val="0"/>
        <w:adjustRightInd w:val="0"/>
        <w:spacing w:after="0" w:line="240" w:lineRule="auto"/>
        <w:jc w:val="both"/>
        <w:rPr>
          <w:rFonts w:ascii="Tahoma" w:hAnsi="Tahoma" w:cs="Tahoma"/>
          <w:b/>
          <w:sz w:val="24"/>
          <w:szCs w:val="24"/>
        </w:rPr>
      </w:pPr>
    </w:p>
    <w:p w:rsidR="002222C9" w:rsidRPr="000E34C1" w:rsidRDefault="002222C9" w:rsidP="000E34C1">
      <w:pPr>
        <w:autoSpaceDE w:val="0"/>
        <w:autoSpaceDN w:val="0"/>
        <w:adjustRightInd w:val="0"/>
        <w:spacing w:after="0" w:line="240" w:lineRule="auto"/>
        <w:jc w:val="both"/>
        <w:rPr>
          <w:rFonts w:ascii="Tahoma" w:hAnsi="Tahoma" w:cs="Tahoma"/>
          <w:sz w:val="24"/>
          <w:szCs w:val="24"/>
        </w:rPr>
      </w:pPr>
      <w:r w:rsidRPr="000E34C1">
        <w:rPr>
          <w:rFonts w:ascii="Tahoma" w:hAnsi="Tahoma" w:cs="Tahoma"/>
          <w:sz w:val="24"/>
          <w:szCs w:val="24"/>
        </w:rPr>
        <w:t>The need to cover the capital costs of building a district heating scheme means that contracts tend to be long – up to 20 years – prohibiting switching.</w:t>
      </w:r>
      <w:r w:rsidR="00D044D9" w:rsidRPr="000E34C1">
        <w:rPr>
          <w:rStyle w:val="FootnoteReference"/>
          <w:rFonts w:ascii="Tahoma" w:hAnsi="Tahoma" w:cs="Tahoma"/>
          <w:sz w:val="24"/>
          <w:szCs w:val="24"/>
        </w:rPr>
        <w:footnoteReference w:id="21"/>
      </w:r>
      <w:r w:rsidRPr="000E34C1">
        <w:rPr>
          <w:rFonts w:ascii="Tahoma" w:hAnsi="Tahoma" w:cs="Tahoma"/>
          <w:sz w:val="24"/>
          <w:szCs w:val="24"/>
        </w:rPr>
        <w:t xml:space="preserve">  The CFU has been made aware of cases where a consumer has to pay a standing charge, even though they have effectively self-disconnected and are not using the heat generated in a scheme. </w:t>
      </w:r>
      <w:r w:rsidR="00685552" w:rsidRPr="000E34C1">
        <w:rPr>
          <w:rFonts w:ascii="Tahoma" w:hAnsi="Tahoma" w:cs="Tahoma"/>
          <w:sz w:val="24"/>
          <w:szCs w:val="24"/>
        </w:rPr>
        <w:t xml:space="preserve">Similarly, paying heat with rent can make it </w:t>
      </w:r>
      <w:r w:rsidRPr="000E34C1">
        <w:rPr>
          <w:rFonts w:ascii="Tahoma" w:hAnsi="Tahoma" w:cs="Tahoma"/>
          <w:sz w:val="24"/>
          <w:szCs w:val="24"/>
        </w:rPr>
        <w:t>hard</w:t>
      </w:r>
      <w:r w:rsidR="00685552" w:rsidRPr="000E34C1">
        <w:rPr>
          <w:rFonts w:ascii="Tahoma" w:hAnsi="Tahoma" w:cs="Tahoma"/>
          <w:sz w:val="24"/>
          <w:szCs w:val="24"/>
        </w:rPr>
        <w:t>er</w:t>
      </w:r>
      <w:r w:rsidRPr="000E34C1">
        <w:rPr>
          <w:rFonts w:ascii="Tahoma" w:hAnsi="Tahoma" w:cs="Tahoma"/>
          <w:sz w:val="24"/>
          <w:szCs w:val="24"/>
        </w:rPr>
        <w:t xml:space="preserve"> to switch. District heating schemes </w:t>
      </w:r>
      <w:r w:rsidR="008A65AA">
        <w:rPr>
          <w:rFonts w:ascii="Tahoma" w:hAnsi="Tahoma" w:cs="Tahoma"/>
          <w:sz w:val="24"/>
          <w:szCs w:val="24"/>
        </w:rPr>
        <w:t>may be</w:t>
      </w:r>
      <w:r w:rsidRPr="000E34C1">
        <w:rPr>
          <w:rFonts w:ascii="Tahoma" w:hAnsi="Tahoma" w:cs="Tahoma"/>
          <w:sz w:val="24"/>
          <w:szCs w:val="24"/>
        </w:rPr>
        <w:t xml:space="preserve"> used in areas without mains gas,</w:t>
      </w:r>
      <w:r w:rsidR="00685552" w:rsidRPr="000E34C1">
        <w:rPr>
          <w:rFonts w:ascii="Tahoma" w:hAnsi="Tahoma" w:cs="Tahoma"/>
          <w:sz w:val="24"/>
          <w:szCs w:val="24"/>
        </w:rPr>
        <w:t xml:space="preserve"> where alternative options are limited, </w:t>
      </w:r>
      <w:r w:rsidR="0068765D">
        <w:rPr>
          <w:rFonts w:ascii="Tahoma" w:hAnsi="Tahoma" w:cs="Tahoma"/>
          <w:sz w:val="24"/>
          <w:szCs w:val="24"/>
        </w:rPr>
        <w:t xml:space="preserve">often </w:t>
      </w:r>
      <w:r w:rsidR="00685552" w:rsidRPr="000E34C1">
        <w:rPr>
          <w:rFonts w:ascii="Tahoma" w:hAnsi="Tahoma" w:cs="Tahoma"/>
          <w:sz w:val="24"/>
          <w:szCs w:val="24"/>
        </w:rPr>
        <w:t>being seen as a more affordable means to tackle fuel poverty than electric heating. Building</w:t>
      </w:r>
      <w:r w:rsidRPr="000E34C1">
        <w:rPr>
          <w:rFonts w:ascii="Tahoma" w:hAnsi="Tahoma" w:cs="Tahoma"/>
          <w:sz w:val="24"/>
          <w:szCs w:val="24"/>
        </w:rPr>
        <w:t xml:space="preserve"> regulations </w:t>
      </w:r>
      <w:r w:rsidR="00685552" w:rsidRPr="000E34C1">
        <w:rPr>
          <w:rFonts w:ascii="Tahoma" w:hAnsi="Tahoma" w:cs="Tahoma"/>
          <w:sz w:val="24"/>
          <w:szCs w:val="24"/>
        </w:rPr>
        <w:t xml:space="preserve">in some high-rise blocks </w:t>
      </w:r>
      <w:r w:rsidR="00ED00A8" w:rsidRPr="000E34C1">
        <w:rPr>
          <w:rFonts w:ascii="Tahoma" w:hAnsi="Tahoma" w:cs="Tahoma"/>
          <w:sz w:val="24"/>
          <w:szCs w:val="24"/>
        </w:rPr>
        <w:t>mean</w:t>
      </w:r>
      <w:r w:rsidRPr="000E34C1">
        <w:rPr>
          <w:rFonts w:ascii="Tahoma" w:hAnsi="Tahoma" w:cs="Tahoma"/>
          <w:sz w:val="24"/>
          <w:szCs w:val="24"/>
        </w:rPr>
        <w:t xml:space="preserve"> it is not possible to install</w:t>
      </w:r>
      <w:r w:rsidR="00ED00A8" w:rsidRPr="000E34C1">
        <w:rPr>
          <w:rFonts w:ascii="Tahoma" w:hAnsi="Tahoma" w:cs="Tahoma"/>
          <w:sz w:val="24"/>
          <w:szCs w:val="24"/>
        </w:rPr>
        <w:t xml:space="preserve"> mains</w:t>
      </w:r>
      <w:r w:rsidRPr="000E34C1">
        <w:rPr>
          <w:rFonts w:ascii="Tahoma" w:hAnsi="Tahoma" w:cs="Tahoma"/>
          <w:sz w:val="24"/>
          <w:szCs w:val="24"/>
        </w:rPr>
        <w:t xml:space="preserve"> gas to individual households, again </w:t>
      </w:r>
      <w:r w:rsidR="00ED00A8" w:rsidRPr="000E34C1">
        <w:rPr>
          <w:rFonts w:ascii="Tahoma" w:hAnsi="Tahoma" w:cs="Tahoma"/>
          <w:sz w:val="24"/>
          <w:szCs w:val="24"/>
        </w:rPr>
        <w:t xml:space="preserve">limiting consumer alternatives </w:t>
      </w:r>
      <w:r w:rsidRPr="000E34C1">
        <w:rPr>
          <w:rFonts w:ascii="Tahoma" w:hAnsi="Tahoma" w:cs="Tahoma"/>
          <w:sz w:val="24"/>
          <w:szCs w:val="24"/>
        </w:rPr>
        <w:t>if they are not happy with their district heating scheme.</w:t>
      </w:r>
    </w:p>
    <w:p w:rsidR="00C07ADB" w:rsidRPr="000E34C1" w:rsidRDefault="00C07ADB" w:rsidP="000E34C1">
      <w:pPr>
        <w:autoSpaceDE w:val="0"/>
        <w:autoSpaceDN w:val="0"/>
        <w:adjustRightInd w:val="0"/>
        <w:spacing w:after="0" w:line="240" w:lineRule="auto"/>
        <w:jc w:val="both"/>
        <w:rPr>
          <w:rFonts w:ascii="Tahoma" w:hAnsi="Tahoma" w:cs="Tahoma"/>
          <w:sz w:val="24"/>
          <w:szCs w:val="24"/>
        </w:rPr>
      </w:pPr>
    </w:p>
    <w:p w:rsidR="00C07ADB" w:rsidRPr="000E34C1" w:rsidRDefault="00C07ADB" w:rsidP="000E34C1">
      <w:pPr>
        <w:autoSpaceDE w:val="0"/>
        <w:autoSpaceDN w:val="0"/>
        <w:adjustRightInd w:val="0"/>
        <w:spacing w:after="0" w:line="240" w:lineRule="auto"/>
        <w:jc w:val="both"/>
        <w:rPr>
          <w:rFonts w:ascii="Tahoma" w:hAnsi="Tahoma" w:cs="Tahoma"/>
          <w:b/>
          <w:sz w:val="24"/>
          <w:szCs w:val="24"/>
        </w:rPr>
      </w:pPr>
      <w:r w:rsidRPr="000E34C1">
        <w:rPr>
          <w:rFonts w:ascii="Tahoma" w:hAnsi="Tahoma" w:cs="Tahoma"/>
          <w:b/>
          <w:sz w:val="24"/>
          <w:szCs w:val="24"/>
        </w:rPr>
        <w:lastRenderedPageBreak/>
        <w:t>3. How do commercial and financial incentives at different levels in the value chain affect the decisions of builders, operators and residents?</w:t>
      </w:r>
    </w:p>
    <w:p w:rsidR="004A130C" w:rsidRPr="000E34C1" w:rsidRDefault="004A130C" w:rsidP="000E34C1">
      <w:pPr>
        <w:autoSpaceDE w:val="0"/>
        <w:autoSpaceDN w:val="0"/>
        <w:adjustRightInd w:val="0"/>
        <w:spacing w:after="0" w:line="240" w:lineRule="auto"/>
        <w:jc w:val="both"/>
        <w:rPr>
          <w:rFonts w:ascii="Tahoma" w:hAnsi="Tahoma" w:cs="Tahoma"/>
          <w:b/>
          <w:sz w:val="24"/>
          <w:szCs w:val="24"/>
        </w:rPr>
      </w:pPr>
    </w:p>
    <w:p w:rsidR="00E41DB3" w:rsidRPr="000E34C1" w:rsidRDefault="00E41DB3" w:rsidP="000E34C1">
      <w:pPr>
        <w:autoSpaceDE w:val="0"/>
        <w:autoSpaceDN w:val="0"/>
        <w:adjustRightInd w:val="0"/>
        <w:spacing w:after="0" w:line="240" w:lineRule="auto"/>
        <w:jc w:val="both"/>
        <w:rPr>
          <w:rFonts w:ascii="Tahoma" w:hAnsi="Tahoma" w:cs="Tahoma"/>
          <w:sz w:val="24"/>
          <w:szCs w:val="24"/>
        </w:rPr>
      </w:pPr>
      <w:r w:rsidRPr="000E34C1">
        <w:rPr>
          <w:rFonts w:ascii="Tahoma" w:hAnsi="Tahoma" w:cs="Tahoma"/>
          <w:sz w:val="24"/>
          <w:szCs w:val="24"/>
        </w:rPr>
        <w:t>With the exception of community-owned district heating schemes, such as that at St Bride’s Community Centre in Douglas, South Lanarkshire,</w:t>
      </w:r>
      <w:r w:rsidR="00E13B91" w:rsidRPr="000E34C1">
        <w:rPr>
          <w:rFonts w:ascii="Tahoma" w:hAnsi="Tahoma" w:cs="Tahoma"/>
          <w:sz w:val="24"/>
          <w:szCs w:val="24"/>
        </w:rPr>
        <w:t xml:space="preserve"> the decision to build a district heating scheme is not normally directly taken by the consumers who will use the scheme. Similarly, </w:t>
      </w:r>
      <w:r w:rsidR="00685552" w:rsidRPr="000E34C1">
        <w:rPr>
          <w:rFonts w:ascii="Tahoma" w:hAnsi="Tahoma" w:cs="Tahoma"/>
          <w:sz w:val="24"/>
          <w:szCs w:val="24"/>
        </w:rPr>
        <w:t xml:space="preserve">investors, </w:t>
      </w:r>
      <w:r w:rsidR="00B517DD" w:rsidRPr="000E34C1">
        <w:rPr>
          <w:rFonts w:ascii="Tahoma" w:hAnsi="Tahoma" w:cs="Tahoma"/>
          <w:sz w:val="24"/>
          <w:szCs w:val="24"/>
        </w:rPr>
        <w:t xml:space="preserve">local authorities, </w:t>
      </w:r>
      <w:r w:rsidR="00994EDD" w:rsidRPr="000E34C1">
        <w:rPr>
          <w:rFonts w:ascii="Tahoma" w:hAnsi="Tahoma" w:cs="Tahoma"/>
          <w:sz w:val="24"/>
          <w:szCs w:val="24"/>
        </w:rPr>
        <w:t xml:space="preserve">housing associations, private </w:t>
      </w:r>
      <w:r w:rsidR="00685552" w:rsidRPr="000E34C1">
        <w:rPr>
          <w:rFonts w:ascii="Tahoma" w:hAnsi="Tahoma" w:cs="Tahoma"/>
          <w:sz w:val="24"/>
          <w:szCs w:val="24"/>
        </w:rPr>
        <w:t xml:space="preserve">developers, or operators </w:t>
      </w:r>
      <w:r w:rsidR="00E13B91" w:rsidRPr="000E34C1">
        <w:rPr>
          <w:rFonts w:ascii="Tahoma" w:hAnsi="Tahoma" w:cs="Tahoma"/>
          <w:sz w:val="24"/>
          <w:szCs w:val="24"/>
        </w:rPr>
        <w:t xml:space="preserve">tend to dictate investment in, building and operation of a scheme. The way schemes are incentivised should </w:t>
      </w:r>
      <w:r w:rsidR="00ED00A8" w:rsidRPr="000E34C1">
        <w:rPr>
          <w:rFonts w:ascii="Tahoma" w:hAnsi="Tahoma" w:cs="Tahoma"/>
          <w:sz w:val="24"/>
          <w:szCs w:val="24"/>
        </w:rPr>
        <w:t xml:space="preserve">therefore </w:t>
      </w:r>
      <w:r w:rsidR="00E13B91" w:rsidRPr="000E34C1">
        <w:rPr>
          <w:rFonts w:ascii="Tahoma" w:hAnsi="Tahoma" w:cs="Tahoma"/>
          <w:sz w:val="24"/>
          <w:szCs w:val="24"/>
        </w:rPr>
        <w:t xml:space="preserve">be clearly linked to </w:t>
      </w:r>
      <w:r w:rsidR="00ED00A8" w:rsidRPr="000E34C1">
        <w:rPr>
          <w:rFonts w:ascii="Tahoma" w:hAnsi="Tahoma" w:cs="Tahoma"/>
          <w:sz w:val="24"/>
          <w:szCs w:val="24"/>
        </w:rPr>
        <w:t xml:space="preserve">improved </w:t>
      </w:r>
      <w:r w:rsidR="00E13B91" w:rsidRPr="000E34C1">
        <w:rPr>
          <w:rFonts w:ascii="Tahoma" w:hAnsi="Tahoma" w:cs="Tahoma"/>
          <w:sz w:val="24"/>
          <w:szCs w:val="24"/>
        </w:rPr>
        <w:t xml:space="preserve">consumer outcomes from </w:t>
      </w:r>
      <w:r w:rsidR="00ED00A8" w:rsidRPr="000E34C1">
        <w:rPr>
          <w:rFonts w:ascii="Tahoma" w:hAnsi="Tahoma" w:cs="Tahoma"/>
          <w:sz w:val="24"/>
          <w:szCs w:val="24"/>
        </w:rPr>
        <w:t>their inception,</w:t>
      </w:r>
      <w:r w:rsidR="00E13B91" w:rsidRPr="000E34C1">
        <w:rPr>
          <w:rFonts w:ascii="Tahoma" w:hAnsi="Tahoma" w:cs="Tahoma"/>
          <w:sz w:val="24"/>
          <w:szCs w:val="24"/>
        </w:rPr>
        <w:t xml:space="preserve"> </w:t>
      </w:r>
      <w:r w:rsidR="00685552" w:rsidRPr="000E34C1">
        <w:rPr>
          <w:rFonts w:ascii="Tahoma" w:hAnsi="Tahoma" w:cs="Tahoma"/>
          <w:sz w:val="24"/>
          <w:szCs w:val="24"/>
        </w:rPr>
        <w:t>such as</w:t>
      </w:r>
      <w:r w:rsidR="00E13B91" w:rsidRPr="000E34C1">
        <w:rPr>
          <w:rFonts w:ascii="Tahoma" w:hAnsi="Tahoma" w:cs="Tahoma"/>
          <w:sz w:val="24"/>
          <w:szCs w:val="24"/>
        </w:rPr>
        <w:t xml:space="preserve"> </w:t>
      </w:r>
      <w:r w:rsidR="00ED00A8" w:rsidRPr="000E34C1">
        <w:rPr>
          <w:rFonts w:ascii="Tahoma" w:hAnsi="Tahoma" w:cs="Tahoma"/>
          <w:sz w:val="24"/>
          <w:szCs w:val="24"/>
        </w:rPr>
        <w:t xml:space="preserve">alleviating fuel poverty </w:t>
      </w:r>
      <w:r w:rsidR="00685552" w:rsidRPr="000E34C1">
        <w:rPr>
          <w:rFonts w:ascii="Tahoma" w:hAnsi="Tahoma" w:cs="Tahoma"/>
          <w:sz w:val="24"/>
          <w:szCs w:val="24"/>
        </w:rPr>
        <w:t>and</w:t>
      </w:r>
      <w:r w:rsidR="00ED00A8" w:rsidRPr="000E34C1">
        <w:rPr>
          <w:rFonts w:ascii="Tahoma" w:hAnsi="Tahoma" w:cs="Tahoma"/>
          <w:sz w:val="24"/>
          <w:szCs w:val="24"/>
        </w:rPr>
        <w:t xml:space="preserve"> meeting high technical</w:t>
      </w:r>
      <w:r w:rsidR="00714FB7" w:rsidRPr="000E34C1">
        <w:rPr>
          <w:rFonts w:ascii="Tahoma" w:hAnsi="Tahoma" w:cs="Tahoma"/>
          <w:sz w:val="24"/>
          <w:szCs w:val="24"/>
        </w:rPr>
        <w:t xml:space="preserve"> standards. Improving consumer </w:t>
      </w:r>
      <w:r w:rsidR="00ED00A8" w:rsidRPr="000E34C1">
        <w:rPr>
          <w:rFonts w:ascii="Tahoma" w:hAnsi="Tahoma" w:cs="Tahoma"/>
          <w:sz w:val="24"/>
          <w:szCs w:val="24"/>
        </w:rPr>
        <w:t xml:space="preserve">engagement and advocacy at all stages of development and operation would help to ensure schemes </w:t>
      </w:r>
      <w:r w:rsidR="00685552" w:rsidRPr="000E34C1">
        <w:rPr>
          <w:rFonts w:ascii="Tahoma" w:hAnsi="Tahoma" w:cs="Tahoma"/>
          <w:sz w:val="24"/>
          <w:szCs w:val="24"/>
        </w:rPr>
        <w:t xml:space="preserve">are designed around the users of </w:t>
      </w:r>
      <w:r w:rsidR="00ED00A8" w:rsidRPr="000E34C1">
        <w:rPr>
          <w:rFonts w:ascii="Tahoma" w:hAnsi="Tahoma" w:cs="Tahoma"/>
          <w:sz w:val="24"/>
          <w:szCs w:val="24"/>
        </w:rPr>
        <w:t xml:space="preserve">district heat. </w:t>
      </w:r>
      <w:r w:rsidR="00752CEA">
        <w:rPr>
          <w:rFonts w:ascii="Tahoma" w:hAnsi="Tahoma" w:cs="Tahoma"/>
          <w:sz w:val="24"/>
          <w:szCs w:val="24"/>
        </w:rPr>
        <w:t xml:space="preserve">This would help to meet the Scottish Government’s </w:t>
      </w:r>
      <w:r w:rsidR="00E5523C">
        <w:rPr>
          <w:rFonts w:ascii="Tahoma" w:hAnsi="Tahoma" w:cs="Tahoma"/>
          <w:sz w:val="24"/>
          <w:szCs w:val="24"/>
        </w:rPr>
        <w:t xml:space="preserve">Energy Strategy </w:t>
      </w:r>
      <w:r w:rsidR="00752CEA">
        <w:rPr>
          <w:rFonts w:ascii="Tahoma" w:hAnsi="Tahoma" w:cs="Tahoma"/>
          <w:sz w:val="24"/>
          <w:szCs w:val="24"/>
        </w:rPr>
        <w:t xml:space="preserve">aim </w:t>
      </w:r>
      <w:r w:rsidR="005E01CF">
        <w:rPr>
          <w:rFonts w:ascii="Tahoma" w:hAnsi="Tahoma" w:cs="Tahoma"/>
          <w:sz w:val="24"/>
          <w:szCs w:val="24"/>
        </w:rPr>
        <w:t>to</w:t>
      </w:r>
      <w:r w:rsidR="00752CEA">
        <w:rPr>
          <w:rFonts w:ascii="Tahoma" w:hAnsi="Tahoma" w:cs="Tahoma"/>
          <w:sz w:val="24"/>
          <w:szCs w:val="24"/>
        </w:rPr>
        <w:t xml:space="preserve"> prioritise consumer engagement and protection. </w:t>
      </w:r>
      <w:r w:rsidR="00752CEA">
        <w:rPr>
          <w:rStyle w:val="FootnoteReference"/>
          <w:rFonts w:ascii="Tahoma" w:hAnsi="Tahoma" w:cs="Tahoma"/>
          <w:sz w:val="24"/>
          <w:szCs w:val="24"/>
        </w:rPr>
        <w:footnoteReference w:id="22"/>
      </w:r>
    </w:p>
    <w:p w:rsidR="00ED00A8" w:rsidRPr="000E34C1" w:rsidRDefault="00ED00A8" w:rsidP="000E34C1">
      <w:pPr>
        <w:autoSpaceDE w:val="0"/>
        <w:autoSpaceDN w:val="0"/>
        <w:adjustRightInd w:val="0"/>
        <w:spacing w:after="0" w:line="240" w:lineRule="auto"/>
        <w:jc w:val="both"/>
        <w:rPr>
          <w:rFonts w:ascii="Tahoma" w:hAnsi="Tahoma" w:cs="Tahoma"/>
          <w:sz w:val="24"/>
          <w:szCs w:val="24"/>
        </w:rPr>
      </w:pPr>
    </w:p>
    <w:p w:rsidR="00994EDD" w:rsidRPr="000E34C1" w:rsidRDefault="00994EDD" w:rsidP="000E34C1">
      <w:pPr>
        <w:autoSpaceDE w:val="0"/>
        <w:autoSpaceDN w:val="0"/>
        <w:adjustRightInd w:val="0"/>
        <w:spacing w:after="0" w:line="240" w:lineRule="auto"/>
        <w:jc w:val="both"/>
        <w:rPr>
          <w:rFonts w:ascii="Tahoma" w:hAnsi="Tahoma" w:cs="Tahoma"/>
          <w:b/>
          <w:sz w:val="24"/>
          <w:szCs w:val="24"/>
        </w:rPr>
      </w:pPr>
      <w:r w:rsidRPr="000E34C1">
        <w:rPr>
          <w:rFonts w:ascii="Tahoma" w:hAnsi="Tahoma" w:cs="Tahoma"/>
          <w:b/>
          <w:sz w:val="24"/>
          <w:szCs w:val="24"/>
        </w:rPr>
        <w:t>4. Do you have views on our proposed approach to data collection and analysis?</w:t>
      </w:r>
    </w:p>
    <w:p w:rsidR="00BD3A21" w:rsidRPr="000E34C1" w:rsidRDefault="00BD3A21" w:rsidP="000E34C1">
      <w:pPr>
        <w:autoSpaceDE w:val="0"/>
        <w:autoSpaceDN w:val="0"/>
        <w:adjustRightInd w:val="0"/>
        <w:spacing w:after="0" w:line="240" w:lineRule="auto"/>
        <w:jc w:val="both"/>
        <w:rPr>
          <w:rFonts w:ascii="Tahoma" w:hAnsi="Tahoma" w:cs="Tahoma"/>
          <w:b/>
          <w:sz w:val="24"/>
          <w:szCs w:val="24"/>
        </w:rPr>
      </w:pPr>
    </w:p>
    <w:p w:rsidR="00BD3A21" w:rsidRPr="000E34C1" w:rsidRDefault="00BD3A21" w:rsidP="000E34C1">
      <w:pPr>
        <w:autoSpaceDE w:val="0"/>
        <w:autoSpaceDN w:val="0"/>
        <w:adjustRightInd w:val="0"/>
        <w:spacing w:after="0" w:line="240" w:lineRule="auto"/>
        <w:jc w:val="both"/>
        <w:rPr>
          <w:rFonts w:ascii="Tahoma" w:hAnsi="Tahoma" w:cs="Tahoma"/>
          <w:sz w:val="24"/>
          <w:szCs w:val="24"/>
        </w:rPr>
      </w:pPr>
      <w:r w:rsidRPr="000E34C1">
        <w:rPr>
          <w:rFonts w:ascii="Tahoma" w:hAnsi="Tahoma" w:cs="Tahoma"/>
          <w:sz w:val="24"/>
          <w:szCs w:val="24"/>
        </w:rPr>
        <w:t xml:space="preserve">Assessing how costs compare between district heat tariffs and alternative fuel tariffs will be insightful as we know even well-informed consumers can find it hard to make such comparisons. </w:t>
      </w:r>
      <w:r w:rsidR="00947C8B" w:rsidRPr="000E34C1">
        <w:rPr>
          <w:rFonts w:ascii="Tahoma" w:hAnsi="Tahoma" w:cs="Tahoma"/>
          <w:sz w:val="24"/>
          <w:szCs w:val="24"/>
        </w:rPr>
        <w:t>Investigating transparency at different stages through investment, pl</w:t>
      </w:r>
      <w:r w:rsidR="00685552" w:rsidRPr="000E34C1">
        <w:rPr>
          <w:rFonts w:ascii="Tahoma" w:hAnsi="Tahoma" w:cs="Tahoma"/>
          <w:sz w:val="24"/>
          <w:szCs w:val="24"/>
        </w:rPr>
        <w:t xml:space="preserve">anning, construction, operation, </w:t>
      </w:r>
      <w:r w:rsidR="00947C8B" w:rsidRPr="000E34C1">
        <w:rPr>
          <w:rFonts w:ascii="Tahoma" w:hAnsi="Tahoma" w:cs="Tahoma"/>
          <w:sz w:val="24"/>
          <w:szCs w:val="24"/>
        </w:rPr>
        <w:t>and supply will help to gain a</w:t>
      </w:r>
      <w:r w:rsidR="00685552" w:rsidRPr="000E34C1">
        <w:rPr>
          <w:rFonts w:ascii="Tahoma" w:hAnsi="Tahoma" w:cs="Tahoma"/>
          <w:sz w:val="24"/>
          <w:szCs w:val="24"/>
        </w:rPr>
        <w:t xml:space="preserve"> clearer insight into how costs, ultimately borne by the end consumer</w:t>
      </w:r>
      <w:r w:rsidR="00A004E6" w:rsidRPr="000E34C1">
        <w:rPr>
          <w:rFonts w:ascii="Tahoma" w:hAnsi="Tahoma" w:cs="Tahoma"/>
          <w:sz w:val="24"/>
          <w:szCs w:val="24"/>
        </w:rPr>
        <w:t xml:space="preserve">, can be kept down. </w:t>
      </w:r>
      <w:r w:rsidR="00AB1CE0" w:rsidRPr="000E34C1">
        <w:rPr>
          <w:rFonts w:ascii="Tahoma" w:hAnsi="Tahoma" w:cs="Tahoma"/>
          <w:sz w:val="24"/>
          <w:szCs w:val="24"/>
        </w:rPr>
        <w:t xml:space="preserve">This is particularly important as BEIS concluded that ‘there is relatively poor transparency in the heat network sector.’ </w:t>
      </w:r>
      <w:r w:rsidR="00AB1CE0" w:rsidRPr="000E34C1">
        <w:rPr>
          <w:rStyle w:val="FootnoteReference"/>
          <w:rFonts w:ascii="Tahoma" w:hAnsi="Tahoma" w:cs="Tahoma"/>
          <w:sz w:val="24"/>
          <w:szCs w:val="24"/>
        </w:rPr>
        <w:footnoteReference w:id="23"/>
      </w:r>
    </w:p>
    <w:p w:rsidR="00947C8B" w:rsidRPr="000E34C1" w:rsidRDefault="00947C8B" w:rsidP="000E34C1">
      <w:pPr>
        <w:autoSpaceDE w:val="0"/>
        <w:autoSpaceDN w:val="0"/>
        <w:adjustRightInd w:val="0"/>
        <w:spacing w:after="0" w:line="240" w:lineRule="auto"/>
        <w:jc w:val="both"/>
        <w:rPr>
          <w:rFonts w:ascii="Tahoma" w:hAnsi="Tahoma" w:cs="Tahoma"/>
          <w:sz w:val="24"/>
          <w:szCs w:val="24"/>
        </w:rPr>
      </w:pPr>
    </w:p>
    <w:p w:rsidR="00994EDD" w:rsidRPr="000E34C1" w:rsidRDefault="00994EDD" w:rsidP="000E34C1">
      <w:pPr>
        <w:autoSpaceDE w:val="0"/>
        <w:autoSpaceDN w:val="0"/>
        <w:adjustRightInd w:val="0"/>
        <w:spacing w:after="0" w:line="240" w:lineRule="auto"/>
        <w:jc w:val="both"/>
        <w:rPr>
          <w:rFonts w:ascii="Tahoma" w:hAnsi="Tahoma" w:cs="Tahoma"/>
          <w:b/>
          <w:sz w:val="24"/>
          <w:szCs w:val="24"/>
        </w:rPr>
      </w:pPr>
    </w:p>
    <w:p w:rsidR="00994EDD" w:rsidRPr="000E34C1" w:rsidRDefault="00994EDD" w:rsidP="000E34C1">
      <w:pPr>
        <w:autoSpaceDE w:val="0"/>
        <w:autoSpaceDN w:val="0"/>
        <w:adjustRightInd w:val="0"/>
        <w:spacing w:after="0" w:line="240" w:lineRule="auto"/>
        <w:jc w:val="both"/>
        <w:rPr>
          <w:rFonts w:ascii="Tahoma" w:hAnsi="Tahoma" w:cs="Tahoma"/>
          <w:b/>
          <w:sz w:val="24"/>
          <w:szCs w:val="24"/>
        </w:rPr>
      </w:pPr>
      <w:r w:rsidRPr="000E34C1">
        <w:rPr>
          <w:rFonts w:ascii="Tahoma" w:hAnsi="Tahoma" w:cs="Tahoma"/>
          <w:b/>
          <w:sz w:val="24"/>
          <w:szCs w:val="24"/>
        </w:rPr>
        <w:t>5. Do you think that the potential remedies we are considering are appropriate? What are the potential benefits / risks in implementing such remedies and how should they be designed to maximise benefits? Are there other remedies that we should be considering?</w:t>
      </w:r>
    </w:p>
    <w:p w:rsidR="00994EDD" w:rsidRPr="000E34C1" w:rsidRDefault="00994EDD" w:rsidP="000E34C1">
      <w:pPr>
        <w:autoSpaceDE w:val="0"/>
        <w:autoSpaceDN w:val="0"/>
        <w:adjustRightInd w:val="0"/>
        <w:spacing w:after="0" w:line="240" w:lineRule="auto"/>
        <w:jc w:val="both"/>
        <w:rPr>
          <w:rFonts w:ascii="Tahoma" w:hAnsi="Tahoma" w:cs="Tahoma"/>
          <w:sz w:val="24"/>
          <w:szCs w:val="24"/>
        </w:rPr>
      </w:pPr>
    </w:p>
    <w:p w:rsidR="00E0402B" w:rsidRDefault="00E0402B" w:rsidP="00E0402B">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Our research in Scotland recommended that because of the practical difficulties of switching, a rigorous licensing regime should be implemented to protect consumers. </w:t>
      </w:r>
    </w:p>
    <w:p w:rsidR="00E0402B" w:rsidRPr="000E34C1" w:rsidRDefault="00E0402B" w:rsidP="00E0402B">
      <w:pPr>
        <w:autoSpaceDE w:val="0"/>
        <w:autoSpaceDN w:val="0"/>
        <w:adjustRightInd w:val="0"/>
        <w:spacing w:after="0" w:line="240" w:lineRule="auto"/>
        <w:jc w:val="both"/>
        <w:rPr>
          <w:rFonts w:ascii="Tahoma" w:hAnsi="Tahoma" w:cs="Tahoma"/>
          <w:sz w:val="24"/>
          <w:szCs w:val="24"/>
        </w:rPr>
      </w:pPr>
      <w:r w:rsidRPr="000E34C1">
        <w:rPr>
          <w:rFonts w:ascii="Tahoma" w:hAnsi="Tahoma" w:cs="Tahoma"/>
          <w:sz w:val="24"/>
          <w:szCs w:val="24"/>
        </w:rPr>
        <w:t xml:space="preserve"> </w:t>
      </w:r>
    </w:p>
    <w:p w:rsidR="00EB5B6B" w:rsidRPr="000E34C1" w:rsidRDefault="00E0402B" w:rsidP="00E0402B">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While w</w:t>
      </w:r>
      <w:r w:rsidR="00A075DE" w:rsidRPr="000E34C1">
        <w:rPr>
          <w:rFonts w:ascii="Tahoma" w:hAnsi="Tahoma" w:cs="Tahoma"/>
          <w:sz w:val="24"/>
          <w:szCs w:val="24"/>
        </w:rPr>
        <w:t>e</w:t>
      </w:r>
      <w:r w:rsidR="00EB5B6B" w:rsidRPr="000E34C1">
        <w:rPr>
          <w:rFonts w:ascii="Tahoma" w:hAnsi="Tahoma" w:cs="Tahoma"/>
          <w:sz w:val="24"/>
          <w:szCs w:val="24"/>
        </w:rPr>
        <w:t xml:space="preserve"> would welcome measures to ensure excessive costs are not imposed on consumers for leaving a DHS</w:t>
      </w:r>
      <w:r>
        <w:rPr>
          <w:rFonts w:ascii="Tahoma" w:hAnsi="Tahoma" w:cs="Tahoma"/>
          <w:sz w:val="24"/>
          <w:szCs w:val="24"/>
        </w:rPr>
        <w:t xml:space="preserve">, it </w:t>
      </w:r>
      <w:r w:rsidR="003F4C73">
        <w:rPr>
          <w:rFonts w:ascii="Tahoma" w:hAnsi="Tahoma" w:cs="Tahoma"/>
          <w:sz w:val="24"/>
          <w:szCs w:val="24"/>
        </w:rPr>
        <w:t xml:space="preserve">can be </w:t>
      </w:r>
      <w:r>
        <w:rPr>
          <w:rFonts w:ascii="Tahoma" w:hAnsi="Tahoma" w:cs="Tahoma"/>
          <w:sz w:val="24"/>
          <w:szCs w:val="24"/>
        </w:rPr>
        <w:t xml:space="preserve">hard to do so </w:t>
      </w:r>
      <w:r w:rsidR="003F4C73">
        <w:rPr>
          <w:rFonts w:ascii="Tahoma" w:hAnsi="Tahoma" w:cs="Tahoma"/>
          <w:sz w:val="24"/>
          <w:szCs w:val="24"/>
        </w:rPr>
        <w:t xml:space="preserve">for </w:t>
      </w:r>
      <w:r>
        <w:rPr>
          <w:rFonts w:ascii="Tahoma" w:hAnsi="Tahoma" w:cs="Tahoma"/>
          <w:sz w:val="24"/>
          <w:szCs w:val="24"/>
        </w:rPr>
        <w:t xml:space="preserve">practical </w:t>
      </w:r>
      <w:r w:rsidR="003F4C73">
        <w:rPr>
          <w:rFonts w:ascii="Tahoma" w:hAnsi="Tahoma" w:cs="Tahoma"/>
          <w:sz w:val="24"/>
          <w:szCs w:val="24"/>
        </w:rPr>
        <w:t>reasons</w:t>
      </w:r>
      <w:r w:rsidR="00EB5B6B" w:rsidRPr="000E34C1">
        <w:rPr>
          <w:rFonts w:ascii="Tahoma" w:hAnsi="Tahoma" w:cs="Tahoma"/>
          <w:sz w:val="24"/>
          <w:szCs w:val="24"/>
        </w:rPr>
        <w:t>. However, we do not have enough evidence to comment on whether separating network deployment and provision through a tendering process would be practical</w:t>
      </w:r>
      <w:r w:rsidR="00A004E6" w:rsidRPr="000E34C1">
        <w:rPr>
          <w:rFonts w:ascii="Tahoma" w:hAnsi="Tahoma" w:cs="Tahoma"/>
          <w:sz w:val="24"/>
          <w:szCs w:val="24"/>
        </w:rPr>
        <w:t>, improve accountability,</w:t>
      </w:r>
      <w:r w:rsidR="00EB5B6B" w:rsidRPr="000E34C1">
        <w:rPr>
          <w:rFonts w:ascii="Tahoma" w:hAnsi="Tahoma" w:cs="Tahoma"/>
          <w:sz w:val="24"/>
          <w:szCs w:val="24"/>
        </w:rPr>
        <w:t xml:space="preserve"> or have unintended consequences. </w:t>
      </w:r>
    </w:p>
    <w:p w:rsidR="00EB5B6B" w:rsidRPr="000E34C1" w:rsidRDefault="00EB5B6B" w:rsidP="000E34C1">
      <w:pPr>
        <w:autoSpaceDE w:val="0"/>
        <w:autoSpaceDN w:val="0"/>
        <w:adjustRightInd w:val="0"/>
        <w:spacing w:after="0" w:line="240" w:lineRule="auto"/>
        <w:jc w:val="both"/>
        <w:rPr>
          <w:rFonts w:ascii="Tahoma" w:hAnsi="Tahoma" w:cs="Tahoma"/>
          <w:sz w:val="24"/>
          <w:szCs w:val="24"/>
        </w:rPr>
      </w:pPr>
    </w:p>
    <w:p w:rsidR="00E13B91" w:rsidRPr="000E34C1" w:rsidRDefault="00E13B91" w:rsidP="000E34C1">
      <w:pPr>
        <w:autoSpaceDE w:val="0"/>
        <w:autoSpaceDN w:val="0"/>
        <w:adjustRightInd w:val="0"/>
        <w:spacing w:after="0" w:line="240" w:lineRule="auto"/>
        <w:jc w:val="both"/>
        <w:rPr>
          <w:rFonts w:ascii="Tahoma" w:hAnsi="Tahoma" w:cs="Tahoma"/>
          <w:b/>
          <w:sz w:val="24"/>
          <w:szCs w:val="24"/>
          <w:u w:val="single"/>
        </w:rPr>
      </w:pPr>
      <w:r w:rsidRPr="000E34C1">
        <w:rPr>
          <w:rFonts w:ascii="Tahoma" w:hAnsi="Tahoma" w:cs="Tahoma"/>
          <w:b/>
          <w:sz w:val="24"/>
          <w:szCs w:val="24"/>
          <w:u w:val="single"/>
        </w:rPr>
        <w:t>Theme 3: Outcomes</w:t>
      </w:r>
    </w:p>
    <w:p w:rsidR="00E13B91" w:rsidRPr="000E34C1" w:rsidRDefault="00E13B91" w:rsidP="000E34C1">
      <w:pPr>
        <w:autoSpaceDE w:val="0"/>
        <w:autoSpaceDN w:val="0"/>
        <w:adjustRightInd w:val="0"/>
        <w:spacing w:after="0" w:line="240" w:lineRule="auto"/>
        <w:jc w:val="both"/>
        <w:rPr>
          <w:rFonts w:ascii="Tahoma" w:hAnsi="Tahoma" w:cs="Tahoma"/>
          <w:b/>
          <w:sz w:val="24"/>
          <w:szCs w:val="24"/>
          <w:u w:val="single"/>
        </w:rPr>
      </w:pPr>
    </w:p>
    <w:p w:rsidR="00E13B91" w:rsidRPr="000E34C1" w:rsidRDefault="00E13B91" w:rsidP="000E34C1">
      <w:pPr>
        <w:autoSpaceDE w:val="0"/>
        <w:autoSpaceDN w:val="0"/>
        <w:adjustRightInd w:val="0"/>
        <w:spacing w:after="0" w:line="240" w:lineRule="auto"/>
        <w:jc w:val="both"/>
        <w:rPr>
          <w:rFonts w:ascii="Tahoma" w:hAnsi="Tahoma" w:cs="Tahoma"/>
          <w:b/>
          <w:sz w:val="24"/>
          <w:szCs w:val="24"/>
        </w:rPr>
      </w:pPr>
      <w:r w:rsidRPr="000E34C1">
        <w:rPr>
          <w:rFonts w:ascii="Tahoma" w:hAnsi="Tahoma" w:cs="Tahoma"/>
          <w:b/>
          <w:sz w:val="24"/>
          <w:szCs w:val="24"/>
        </w:rPr>
        <w:t>1. Are heat network prices reasonable, and is quality of service and reliability adequate, when compared with alternative heat sources and/or operating costs?</w:t>
      </w:r>
    </w:p>
    <w:p w:rsidR="00E13B91" w:rsidRPr="000E34C1" w:rsidRDefault="00E13B91" w:rsidP="000E34C1">
      <w:pPr>
        <w:autoSpaceDE w:val="0"/>
        <w:autoSpaceDN w:val="0"/>
        <w:adjustRightInd w:val="0"/>
        <w:spacing w:after="0" w:line="240" w:lineRule="auto"/>
        <w:jc w:val="both"/>
        <w:rPr>
          <w:rFonts w:ascii="Tahoma" w:hAnsi="Tahoma" w:cs="Tahoma"/>
          <w:b/>
          <w:sz w:val="24"/>
          <w:szCs w:val="24"/>
        </w:rPr>
      </w:pPr>
    </w:p>
    <w:p w:rsidR="000151B4" w:rsidRDefault="006825FD" w:rsidP="000E34C1">
      <w:pPr>
        <w:autoSpaceDE w:val="0"/>
        <w:autoSpaceDN w:val="0"/>
        <w:adjustRightInd w:val="0"/>
        <w:spacing w:after="0" w:line="240" w:lineRule="auto"/>
        <w:jc w:val="both"/>
        <w:rPr>
          <w:rFonts w:ascii="Tahoma" w:hAnsi="Tahoma" w:cs="Tahoma"/>
          <w:sz w:val="24"/>
          <w:szCs w:val="24"/>
        </w:rPr>
      </w:pPr>
      <w:r w:rsidRPr="000E34C1">
        <w:rPr>
          <w:rFonts w:ascii="Tahoma" w:hAnsi="Tahoma" w:cs="Tahoma"/>
          <w:sz w:val="24"/>
          <w:szCs w:val="24"/>
        </w:rPr>
        <w:lastRenderedPageBreak/>
        <w:t>W</w:t>
      </w:r>
      <w:r w:rsidR="00AB1CE0" w:rsidRPr="000E34C1">
        <w:rPr>
          <w:rFonts w:ascii="Tahoma" w:hAnsi="Tahoma" w:cs="Tahoma"/>
          <w:sz w:val="24"/>
          <w:szCs w:val="24"/>
        </w:rPr>
        <w:t xml:space="preserve">e don’t have systematic data on prices paid </w:t>
      </w:r>
      <w:r w:rsidR="00580F86" w:rsidRPr="000E34C1">
        <w:rPr>
          <w:rFonts w:ascii="Tahoma" w:hAnsi="Tahoma" w:cs="Tahoma"/>
          <w:sz w:val="24"/>
          <w:szCs w:val="24"/>
        </w:rPr>
        <w:t>by district heating consumers</w:t>
      </w:r>
      <w:r w:rsidR="00AB1CE0" w:rsidRPr="000E34C1">
        <w:rPr>
          <w:rFonts w:ascii="Tahoma" w:hAnsi="Tahoma" w:cs="Tahoma"/>
          <w:sz w:val="24"/>
          <w:szCs w:val="24"/>
        </w:rPr>
        <w:t xml:space="preserve">, </w:t>
      </w:r>
      <w:r w:rsidRPr="000E34C1">
        <w:rPr>
          <w:rFonts w:ascii="Tahoma" w:hAnsi="Tahoma" w:cs="Tahoma"/>
          <w:sz w:val="24"/>
          <w:szCs w:val="24"/>
        </w:rPr>
        <w:t xml:space="preserve">but </w:t>
      </w:r>
      <w:r w:rsidR="00AB1CE0" w:rsidRPr="000E34C1">
        <w:rPr>
          <w:rFonts w:ascii="Tahoma" w:hAnsi="Tahoma" w:cs="Tahoma"/>
          <w:sz w:val="24"/>
          <w:szCs w:val="24"/>
        </w:rPr>
        <w:t>prices can vary quite dramatically from scheme to scheme.</w:t>
      </w:r>
      <w:r w:rsidR="00580F86" w:rsidRPr="000E34C1">
        <w:rPr>
          <w:rFonts w:ascii="Tahoma" w:hAnsi="Tahoma" w:cs="Tahoma"/>
          <w:sz w:val="24"/>
          <w:szCs w:val="24"/>
        </w:rPr>
        <w:t xml:space="preserve"> </w:t>
      </w:r>
      <w:r w:rsidR="00AB1CE0" w:rsidRPr="000E34C1">
        <w:rPr>
          <w:rFonts w:ascii="Tahoma" w:hAnsi="Tahoma" w:cs="Tahoma"/>
          <w:sz w:val="24"/>
          <w:szCs w:val="24"/>
        </w:rPr>
        <w:t xml:space="preserve">BEIS’ survey in England </w:t>
      </w:r>
      <w:r w:rsidR="00A004E6" w:rsidRPr="000E34C1">
        <w:rPr>
          <w:rFonts w:ascii="Tahoma" w:hAnsi="Tahoma" w:cs="Tahoma"/>
          <w:sz w:val="24"/>
          <w:szCs w:val="24"/>
        </w:rPr>
        <w:t xml:space="preserve">and Wales </w:t>
      </w:r>
      <w:r w:rsidR="00AB1CE0" w:rsidRPr="000E34C1">
        <w:rPr>
          <w:rFonts w:ascii="Tahoma" w:hAnsi="Tahoma" w:cs="Tahoma"/>
          <w:sz w:val="24"/>
          <w:szCs w:val="24"/>
        </w:rPr>
        <w:t xml:space="preserve">found some consumers pay more than £1,000 or even £2,000 a year </w:t>
      </w:r>
      <w:r w:rsidR="00580F86" w:rsidRPr="000E34C1">
        <w:rPr>
          <w:rFonts w:ascii="Tahoma" w:hAnsi="Tahoma" w:cs="Tahoma"/>
          <w:sz w:val="24"/>
          <w:szCs w:val="24"/>
        </w:rPr>
        <w:t>under district heating schemes</w:t>
      </w:r>
      <w:r w:rsidR="008E3214">
        <w:rPr>
          <w:rFonts w:ascii="Tahoma" w:hAnsi="Tahoma" w:cs="Tahoma"/>
          <w:sz w:val="24"/>
          <w:szCs w:val="24"/>
        </w:rPr>
        <w:t>, although it found median prices to be lower than this</w:t>
      </w:r>
      <w:r w:rsidR="00580F86" w:rsidRPr="000E34C1">
        <w:rPr>
          <w:rFonts w:ascii="Tahoma" w:hAnsi="Tahoma" w:cs="Tahoma"/>
          <w:sz w:val="24"/>
          <w:szCs w:val="24"/>
        </w:rPr>
        <w:t xml:space="preserve">. </w:t>
      </w:r>
      <w:r w:rsidR="008A5B6F" w:rsidRPr="000E34C1">
        <w:rPr>
          <w:rFonts w:ascii="Tahoma" w:hAnsi="Tahoma" w:cs="Tahoma"/>
          <w:sz w:val="24"/>
          <w:szCs w:val="24"/>
        </w:rPr>
        <w:t xml:space="preserve">The average annual gas bill was £569 in 2016, although </w:t>
      </w:r>
      <w:r w:rsidR="000151B4">
        <w:rPr>
          <w:rFonts w:ascii="Tahoma" w:hAnsi="Tahoma" w:cs="Tahoma"/>
          <w:sz w:val="24"/>
          <w:szCs w:val="24"/>
        </w:rPr>
        <w:t>direct comparisons with district heating schemes are complicated.</w:t>
      </w:r>
      <w:r w:rsidR="000151B4" w:rsidRPr="000E34C1">
        <w:rPr>
          <w:rStyle w:val="FootnoteReference"/>
          <w:rFonts w:ascii="Tahoma" w:hAnsi="Tahoma" w:cs="Tahoma"/>
          <w:sz w:val="24"/>
          <w:szCs w:val="24"/>
        </w:rPr>
        <w:footnoteReference w:id="24"/>
      </w:r>
      <w:r w:rsidR="000151B4">
        <w:rPr>
          <w:rFonts w:ascii="Tahoma" w:hAnsi="Tahoma" w:cs="Tahoma"/>
          <w:sz w:val="24"/>
          <w:szCs w:val="24"/>
        </w:rPr>
        <w:t xml:space="preserve"> </w:t>
      </w:r>
      <w:r w:rsidR="000151B4" w:rsidRPr="007C5DB3">
        <w:rPr>
          <w:rFonts w:ascii="Tahoma" w:hAnsi="Tahoma" w:cs="Tahoma"/>
          <w:sz w:val="24"/>
          <w:szCs w:val="24"/>
        </w:rPr>
        <w:t>Whereas gas and electricity standing charges are always detailed</w:t>
      </w:r>
      <w:r w:rsidR="007C5DB3" w:rsidRPr="007C5DB3">
        <w:rPr>
          <w:rFonts w:ascii="Tahoma" w:hAnsi="Tahoma" w:cs="Tahoma"/>
          <w:sz w:val="24"/>
          <w:szCs w:val="24"/>
        </w:rPr>
        <w:t>, comparing the running costs of district heating</w:t>
      </w:r>
      <w:r w:rsidR="00F02EE2" w:rsidRPr="007C5DB3">
        <w:rPr>
          <w:rFonts w:ascii="Tahoma" w:hAnsi="Tahoma" w:cs="Tahoma"/>
          <w:sz w:val="24"/>
          <w:szCs w:val="24"/>
        </w:rPr>
        <w:t xml:space="preserve"> schemes is more complex.</w:t>
      </w:r>
      <w:r w:rsidR="00F02EE2">
        <w:rPr>
          <w:rFonts w:ascii="Tahoma" w:hAnsi="Tahoma" w:cs="Tahoma"/>
          <w:sz w:val="24"/>
          <w:szCs w:val="24"/>
        </w:rPr>
        <w:t xml:space="preserve"> For example, social housing organisations may</w:t>
      </w:r>
      <w:r w:rsidR="000151B4">
        <w:rPr>
          <w:rFonts w:ascii="Tahoma" w:hAnsi="Tahoma" w:cs="Tahoma"/>
          <w:sz w:val="24"/>
          <w:szCs w:val="24"/>
        </w:rPr>
        <w:t xml:space="preserve"> </w:t>
      </w:r>
      <w:r w:rsidR="00F02EE2">
        <w:rPr>
          <w:rFonts w:ascii="Tahoma" w:hAnsi="Tahoma" w:cs="Tahoma"/>
          <w:sz w:val="24"/>
          <w:szCs w:val="24"/>
        </w:rPr>
        <w:t xml:space="preserve">absorb standing charges making the running costs of the scheme seem </w:t>
      </w:r>
      <w:r w:rsidR="00E37B52">
        <w:rPr>
          <w:rFonts w:ascii="Tahoma" w:hAnsi="Tahoma" w:cs="Tahoma"/>
          <w:sz w:val="24"/>
          <w:szCs w:val="24"/>
        </w:rPr>
        <w:t>artificially low.</w:t>
      </w:r>
    </w:p>
    <w:p w:rsidR="000151B4" w:rsidRDefault="000151B4" w:rsidP="000E34C1">
      <w:pPr>
        <w:autoSpaceDE w:val="0"/>
        <w:autoSpaceDN w:val="0"/>
        <w:adjustRightInd w:val="0"/>
        <w:spacing w:after="0" w:line="240" w:lineRule="auto"/>
        <w:jc w:val="both"/>
        <w:rPr>
          <w:rFonts w:ascii="Tahoma" w:hAnsi="Tahoma" w:cs="Tahoma"/>
          <w:sz w:val="24"/>
          <w:szCs w:val="24"/>
        </w:rPr>
      </w:pPr>
    </w:p>
    <w:p w:rsidR="00A004E6" w:rsidRPr="000E34C1" w:rsidRDefault="00A004E6" w:rsidP="000E34C1">
      <w:pPr>
        <w:autoSpaceDE w:val="0"/>
        <w:autoSpaceDN w:val="0"/>
        <w:adjustRightInd w:val="0"/>
        <w:spacing w:after="0" w:line="240" w:lineRule="auto"/>
        <w:jc w:val="both"/>
        <w:rPr>
          <w:rFonts w:ascii="Tahoma" w:hAnsi="Tahoma" w:cs="Tahoma"/>
          <w:sz w:val="24"/>
          <w:szCs w:val="24"/>
        </w:rPr>
      </w:pPr>
      <w:r w:rsidRPr="000E34C1">
        <w:rPr>
          <w:rFonts w:ascii="Tahoma" w:hAnsi="Tahoma" w:cs="Tahoma"/>
          <w:sz w:val="24"/>
          <w:szCs w:val="24"/>
        </w:rPr>
        <w:t>Smaller schemes may lack economies of scale leading to a variation in price. For example, a</w:t>
      </w:r>
      <w:r w:rsidR="006825FD" w:rsidRPr="000E34C1">
        <w:rPr>
          <w:rFonts w:ascii="Tahoma" w:hAnsi="Tahoma" w:cs="Tahoma"/>
          <w:sz w:val="24"/>
          <w:szCs w:val="24"/>
        </w:rPr>
        <w:t xml:space="preserve"> </w:t>
      </w:r>
      <w:r w:rsidRPr="000E34C1">
        <w:rPr>
          <w:rFonts w:ascii="Tahoma" w:hAnsi="Tahoma" w:cs="Tahoma"/>
          <w:sz w:val="24"/>
          <w:szCs w:val="24"/>
        </w:rPr>
        <w:t>C</w:t>
      </w:r>
      <w:r w:rsidR="001E2486">
        <w:rPr>
          <w:rFonts w:ascii="Tahoma" w:hAnsi="Tahoma" w:cs="Tahoma"/>
          <w:sz w:val="24"/>
          <w:szCs w:val="24"/>
        </w:rPr>
        <w:t xml:space="preserve">itizens </w:t>
      </w:r>
      <w:r w:rsidRPr="000E34C1">
        <w:rPr>
          <w:rFonts w:ascii="Tahoma" w:hAnsi="Tahoma" w:cs="Tahoma"/>
          <w:sz w:val="24"/>
          <w:szCs w:val="24"/>
        </w:rPr>
        <w:t>A</w:t>
      </w:r>
      <w:r w:rsidR="001E2486">
        <w:rPr>
          <w:rFonts w:ascii="Tahoma" w:hAnsi="Tahoma" w:cs="Tahoma"/>
          <w:sz w:val="24"/>
          <w:szCs w:val="24"/>
        </w:rPr>
        <w:t xml:space="preserve">dvice </w:t>
      </w:r>
      <w:r w:rsidRPr="000E34C1">
        <w:rPr>
          <w:rFonts w:ascii="Tahoma" w:hAnsi="Tahoma" w:cs="Tahoma"/>
          <w:sz w:val="24"/>
          <w:szCs w:val="24"/>
        </w:rPr>
        <w:t>B</w:t>
      </w:r>
      <w:r w:rsidR="001E2486">
        <w:rPr>
          <w:rFonts w:ascii="Tahoma" w:hAnsi="Tahoma" w:cs="Tahoma"/>
          <w:sz w:val="24"/>
          <w:szCs w:val="24"/>
        </w:rPr>
        <w:t>ureau</w:t>
      </w:r>
      <w:r w:rsidRPr="000E34C1">
        <w:rPr>
          <w:rFonts w:ascii="Tahoma" w:hAnsi="Tahoma" w:cs="Tahoma"/>
          <w:sz w:val="24"/>
          <w:szCs w:val="24"/>
        </w:rPr>
        <w:t xml:space="preserve"> case showed </w:t>
      </w:r>
      <w:r w:rsidR="00580F86" w:rsidRPr="000E34C1">
        <w:rPr>
          <w:rFonts w:ascii="Tahoma" w:hAnsi="Tahoma" w:cs="Tahoma"/>
          <w:sz w:val="24"/>
          <w:szCs w:val="24"/>
        </w:rPr>
        <w:t xml:space="preserve">a rural Scottish tenant paying £150 per month with little consultation before a </w:t>
      </w:r>
      <w:r w:rsidRPr="000E34C1">
        <w:rPr>
          <w:rFonts w:ascii="Tahoma" w:hAnsi="Tahoma" w:cs="Tahoma"/>
          <w:sz w:val="24"/>
          <w:szCs w:val="24"/>
        </w:rPr>
        <w:t xml:space="preserve">small </w:t>
      </w:r>
      <w:r w:rsidR="00580F86" w:rsidRPr="000E34C1">
        <w:rPr>
          <w:rFonts w:ascii="Tahoma" w:hAnsi="Tahoma" w:cs="Tahoma"/>
          <w:sz w:val="24"/>
          <w:szCs w:val="24"/>
        </w:rPr>
        <w:t>scheme was installed.</w:t>
      </w:r>
      <w:r w:rsidR="008A5B6F" w:rsidRPr="000E34C1">
        <w:rPr>
          <w:rFonts w:ascii="Tahoma" w:hAnsi="Tahoma" w:cs="Tahoma"/>
          <w:sz w:val="24"/>
          <w:szCs w:val="24"/>
        </w:rPr>
        <w:t xml:space="preserve"> </w:t>
      </w:r>
    </w:p>
    <w:p w:rsidR="00A004E6" w:rsidRPr="000E34C1" w:rsidRDefault="00A004E6" w:rsidP="000E34C1">
      <w:pPr>
        <w:autoSpaceDE w:val="0"/>
        <w:autoSpaceDN w:val="0"/>
        <w:adjustRightInd w:val="0"/>
        <w:spacing w:after="0" w:line="240" w:lineRule="auto"/>
        <w:jc w:val="both"/>
        <w:rPr>
          <w:rFonts w:ascii="Tahoma" w:hAnsi="Tahoma" w:cs="Tahoma"/>
          <w:sz w:val="24"/>
          <w:szCs w:val="24"/>
        </w:rPr>
      </w:pPr>
    </w:p>
    <w:p w:rsidR="00947C8B" w:rsidRPr="000E34C1" w:rsidRDefault="00580F86" w:rsidP="000E34C1">
      <w:pPr>
        <w:autoSpaceDE w:val="0"/>
        <w:autoSpaceDN w:val="0"/>
        <w:adjustRightInd w:val="0"/>
        <w:spacing w:after="0" w:line="240" w:lineRule="auto"/>
        <w:jc w:val="both"/>
        <w:rPr>
          <w:rFonts w:ascii="Tahoma" w:hAnsi="Tahoma" w:cs="Tahoma"/>
          <w:sz w:val="24"/>
          <w:szCs w:val="24"/>
        </w:rPr>
      </w:pPr>
      <w:r w:rsidRPr="000E34C1">
        <w:rPr>
          <w:rFonts w:ascii="Tahoma" w:hAnsi="Tahoma" w:cs="Tahoma"/>
          <w:sz w:val="24"/>
          <w:szCs w:val="24"/>
        </w:rPr>
        <w:t>Even where prices ar</w:t>
      </w:r>
      <w:r w:rsidR="00A004E6" w:rsidRPr="000E34C1">
        <w:rPr>
          <w:rFonts w:ascii="Tahoma" w:hAnsi="Tahoma" w:cs="Tahoma"/>
          <w:sz w:val="24"/>
          <w:szCs w:val="24"/>
        </w:rPr>
        <w:t xml:space="preserve">e low, </w:t>
      </w:r>
      <w:proofErr w:type="spellStart"/>
      <w:r w:rsidR="00A004E6" w:rsidRPr="000E34C1">
        <w:rPr>
          <w:rFonts w:ascii="Tahoma" w:hAnsi="Tahoma" w:cs="Tahoma"/>
          <w:sz w:val="24"/>
          <w:szCs w:val="24"/>
        </w:rPr>
        <w:t>Changeworks</w:t>
      </w:r>
      <w:proofErr w:type="spellEnd"/>
      <w:r w:rsidR="00A004E6" w:rsidRPr="000E34C1">
        <w:rPr>
          <w:rFonts w:ascii="Tahoma" w:hAnsi="Tahoma" w:cs="Tahoma"/>
          <w:sz w:val="24"/>
          <w:szCs w:val="24"/>
        </w:rPr>
        <w:t>’ research suggested some fixed fee schemes were not sourcing sufficient income from residents, keeping prices artificially low, and storing</w:t>
      </w:r>
      <w:r w:rsidR="002E5324">
        <w:rPr>
          <w:rFonts w:ascii="Tahoma" w:hAnsi="Tahoma" w:cs="Tahoma"/>
          <w:sz w:val="24"/>
          <w:szCs w:val="24"/>
        </w:rPr>
        <w:t xml:space="preserve"> up potential future increases.</w:t>
      </w:r>
      <w:r w:rsidR="00947C8B" w:rsidRPr="000E34C1">
        <w:rPr>
          <w:rStyle w:val="FootnoteReference"/>
          <w:rFonts w:ascii="Tahoma" w:hAnsi="Tahoma" w:cs="Tahoma"/>
          <w:sz w:val="24"/>
          <w:szCs w:val="24"/>
        </w:rPr>
        <w:footnoteReference w:id="25"/>
      </w:r>
    </w:p>
    <w:p w:rsidR="00947C8B" w:rsidRPr="000E34C1" w:rsidRDefault="00947C8B" w:rsidP="000E34C1">
      <w:pPr>
        <w:autoSpaceDE w:val="0"/>
        <w:autoSpaceDN w:val="0"/>
        <w:adjustRightInd w:val="0"/>
        <w:spacing w:after="0" w:line="240" w:lineRule="auto"/>
        <w:jc w:val="both"/>
        <w:rPr>
          <w:rFonts w:ascii="Tahoma" w:hAnsi="Tahoma" w:cs="Tahoma"/>
          <w:sz w:val="24"/>
          <w:szCs w:val="24"/>
        </w:rPr>
      </w:pPr>
    </w:p>
    <w:p w:rsidR="006825FD" w:rsidRPr="000E34C1" w:rsidRDefault="006825FD" w:rsidP="000E34C1">
      <w:pPr>
        <w:autoSpaceDE w:val="0"/>
        <w:autoSpaceDN w:val="0"/>
        <w:adjustRightInd w:val="0"/>
        <w:spacing w:after="0" w:line="240" w:lineRule="auto"/>
        <w:jc w:val="both"/>
        <w:rPr>
          <w:rFonts w:ascii="Tahoma" w:hAnsi="Tahoma" w:cs="Tahoma"/>
          <w:sz w:val="24"/>
          <w:szCs w:val="24"/>
        </w:rPr>
      </w:pPr>
      <w:r w:rsidRPr="000E34C1">
        <w:rPr>
          <w:rFonts w:ascii="Tahoma" w:hAnsi="Tahoma" w:cs="Tahoma"/>
          <w:sz w:val="24"/>
          <w:szCs w:val="24"/>
        </w:rPr>
        <w:t xml:space="preserve">There is a </w:t>
      </w:r>
      <w:r w:rsidR="00A004E6" w:rsidRPr="000E34C1">
        <w:rPr>
          <w:rFonts w:ascii="Tahoma" w:hAnsi="Tahoma" w:cs="Tahoma"/>
          <w:sz w:val="24"/>
          <w:szCs w:val="24"/>
        </w:rPr>
        <w:t xml:space="preserve">varied experience in how faults, </w:t>
      </w:r>
      <w:r w:rsidRPr="000E34C1">
        <w:rPr>
          <w:rFonts w:ascii="Tahoma" w:hAnsi="Tahoma" w:cs="Tahoma"/>
          <w:sz w:val="24"/>
          <w:szCs w:val="24"/>
        </w:rPr>
        <w:t xml:space="preserve">interruption of supply </w:t>
      </w:r>
      <w:r w:rsidR="00A004E6" w:rsidRPr="000E34C1">
        <w:rPr>
          <w:rFonts w:ascii="Tahoma" w:hAnsi="Tahoma" w:cs="Tahoma"/>
          <w:sz w:val="24"/>
          <w:szCs w:val="24"/>
        </w:rPr>
        <w:t>and compensation payments are dealt with</w:t>
      </w:r>
      <w:r w:rsidR="00D4023F" w:rsidRPr="000E34C1">
        <w:rPr>
          <w:rFonts w:ascii="Tahoma" w:hAnsi="Tahoma" w:cs="Tahoma"/>
          <w:sz w:val="24"/>
          <w:szCs w:val="24"/>
        </w:rPr>
        <w:t>. O</w:t>
      </w:r>
      <w:r w:rsidR="00A004E6" w:rsidRPr="000E34C1">
        <w:rPr>
          <w:rFonts w:ascii="Tahoma" w:hAnsi="Tahoma" w:cs="Tahoma"/>
          <w:sz w:val="24"/>
          <w:szCs w:val="24"/>
        </w:rPr>
        <w:t xml:space="preserve">ur report showed </w:t>
      </w:r>
      <w:r w:rsidRPr="000E34C1">
        <w:rPr>
          <w:rFonts w:ascii="Tahoma" w:hAnsi="Tahoma" w:cs="Tahoma"/>
          <w:sz w:val="24"/>
          <w:szCs w:val="24"/>
        </w:rPr>
        <w:t xml:space="preserve">some consumers receiving swift repairs and </w:t>
      </w:r>
      <w:r w:rsidR="00A004E6" w:rsidRPr="000E34C1">
        <w:rPr>
          <w:rFonts w:ascii="Tahoma" w:hAnsi="Tahoma" w:cs="Tahoma"/>
          <w:sz w:val="24"/>
          <w:szCs w:val="24"/>
        </w:rPr>
        <w:t xml:space="preserve">compensation, while others had to use expensive alternatives while their </w:t>
      </w:r>
      <w:r w:rsidR="00E00967">
        <w:rPr>
          <w:rFonts w:ascii="Tahoma" w:hAnsi="Tahoma" w:cs="Tahoma"/>
          <w:sz w:val="24"/>
          <w:szCs w:val="24"/>
        </w:rPr>
        <w:t xml:space="preserve">district heating </w:t>
      </w:r>
      <w:r w:rsidR="00A004E6" w:rsidRPr="000E34C1">
        <w:rPr>
          <w:rFonts w:ascii="Tahoma" w:hAnsi="Tahoma" w:cs="Tahoma"/>
          <w:sz w:val="24"/>
          <w:szCs w:val="24"/>
        </w:rPr>
        <w:t>scheme was repaired.</w:t>
      </w:r>
      <w:r w:rsidRPr="000E34C1">
        <w:rPr>
          <w:rStyle w:val="FootnoteReference"/>
          <w:rFonts w:ascii="Tahoma" w:hAnsi="Tahoma" w:cs="Tahoma"/>
          <w:sz w:val="24"/>
          <w:szCs w:val="24"/>
        </w:rPr>
        <w:footnoteReference w:id="26"/>
      </w:r>
      <w:r w:rsidRPr="000E34C1">
        <w:rPr>
          <w:rFonts w:ascii="Tahoma" w:hAnsi="Tahoma" w:cs="Tahoma"/>
          <w:sz w:val="24"/>
          <w:szCs w:val="24"/>
        </w:rPr>
        <w:t xml:space="preserve"> Apart from members of the Heat Trust, there are </w:t>
      </w:r>
      <w:r w:rsidR="00D4023F" w:rsidRPr="000E34C1">
        <w:rPr>
          <w:rFonts w:ascii="Tahoma" w:hAnsi="Tahoma" w:cs="Tahoma"/>
          <w:sz w:val="24"/>
          <w:szCs w:val="24"/>
        </w:rPr>
        <w:t>not consistent</w:t>
      </w:r>
      <w:r w:rsidRPr="000E34C1">
        <w:rPr>
          <w:rFonts w:ascii="Tahoma" w:hAnsi="Tahoma" w:cs="Tahoma"/>
          <w:sz w:val="24"/>
          <w:szCs w:val="24"/>
        </w:rPr>
        <w:t xml:space="preserve"> standards for </w:t>
      </w:r>
      <w:r w:rsidR="00D4023F" w:rsidRPr="000E34C1">
        <w:rPr>
          <w:rFonts w:ascii="Tahoma" w:hAnsi="Tahoma" w:cs="Tahoma"/>
          <w:sz w:val="24"/>
          <w:szCs w:val="24"/>
        </w:rPr>
        <w:t xml:space="preserve">engaging with and supporting </w:t>
      </w:r>
      <w:r w:rsidRPr="000E34C1">
        <w:rPr>
          <w:rFonts w:ascii="Tahoma" w:hAnsi="Tahoma" w:cs="Tahoma"/>
          <w:sz w:val="24"/>
          <w:szCs w:val="24"/>
        </w:rPr>
        <w:t>vulnerable consumers</w:t>
      </w:r>
      <w:r w:rsidR="00D4023F" w:rsidRPr="000E34C1">
        <w:rPr>
          <w:rFonts w:ascii="Tahoma" w:hAnsi="Tahoma" w:cs="Tahoma"/>
          <w:sz w:val="24"/>
          <w:szCs w:val="24"/>
        </w:rPr>
        <w:t xml:space="preserve">. </w:t>
      </w:r>
      <w:r w:rsidRPr="000E34C1">
        <w:rPr>
          <w:rFonts w:ascii="Tahoma" w:hAnsi="Tahoma" w:cs="Tahoma"/>
          <w:sz w:val="24"/>
          <w:szCs w:val="24"/>
        </w:rPr>
        <w:t xml:space="preserve">Both </w:t>
      </w:r>
      <w:proofErr w:type="spellStart"/>
      <w:r w:rsidRPr="000E34C1">
        <w:rPr>
          <w:rFonts w:ascii="Tahoma" w:hAnsi="Tahoma" w:cs="Tahoma"/>
          <w:sz w:val="24"/>
          <w:szCs w:val="24"/>
        </w:rPr>
        <w:t>underheating</w:t>
      </w:r>
      <w:proofErr w:type="spellEnd"/>
      <w:r w:rsidRPr="000E34C1">
        <w:rPr>
          <w:rFonts w:ascii="Tahoma" w:hAnsi="Tahoma" w:cs="Tahoma"/>
          <w:sz w:val="24"/>
          <w:szCs w:val="24"/>
        </w:rPr>
        <w:t xml:space="preserve"> and overheating </w:t>
      </w:r>
      <w:r w:rsidR="00D4023F" w:rsidRPr="000E34C1">
        <w:rPr>
          <w:rFonts w:ascii="Tahoma" w:hAnsi="Tahoma" w:cs="Tahoma"/>
          <w:sz w:val="24"/>
          <w:szCs w:val="24"/>
        </w:rPr>
        <w:t xml:space="preserve">due to poor insulation or control issues are also problems in some schemes. Without sufficient regulation </w:t>
      </w:r>
      <w:r w:rsidRPr="000E34C1">
        <w:rPr>
          <w:rFonts w:ascii="Tahoma" w:hAnsi="Tahoma" w:cs="Tahoma"/>
          <w:sz w:val="24"/>
          <w:szCs w:val="24"/>
        </w:rPr>
        <w:t xml:space="preserve">pricing, quality of service and reliability </w:t>
      </w:r>
      <w:r w:rsidR="00D4023F" w:rsidRPr="000E34C1">
        <w:rPr>
          <w:rFonts w:ascii="Tahoma" w:hAnsi="Tahoma" w:cs="Tahoma"/>
          <w:sz w:val="24"/>
          <w:szCs w:val="24"/>
        </w:rPr>
        <w:t>are</w:t>
      </w:r>
      <w:r w:rsidRPr="000E34C1">
        <w:rPr>
          <w:rFonts w:ascii="Tahoma" w:hAnsi="Tahoma" w:cs="Tahoma"/>
          <w:sz w:val="24"/>
          <w:szCs w:val="24"/>
        </w:rPr>
        <w:t xml:space="preserve"> varied across district heating schemes</w:t>
      </w:r>
      <w:r w:rsidR="005C437F" w:rsidRPr="000E34C1">
        <w:rPr>
          <w:rFonts w:ascii="Tahoma" w:hAnsi="Tahoma" w:cs="Tahoma"/>
          <w:sz w:val="24"/>
          <w:szCs w:val="24"/>
        </w:rPr>
        <w:t xml:space="preserve">. </w:t>
      </w:r>
      <w:r w:rsidR="00F85924" w:rsidRPr="000E34C1">
        <w:rPr>
          <w:rFonts w:ascii="Tahoma" w:hAnsi="Tahoma" w:cs="Tahoma"/>
          <w:sz w:val="24"/>
          <w:szCs w:val="24"/>
        </w:rPr>
        <w:t xml:space="preserve"> </w:t>
      </w:r>
    </w:p>
    <w:p w:rsidR="006825FD" w:rsidRPr="000E34C1" w:rsidRDefault="006825FD" w:rsidP="000E34C1">
      <w:pPr>
        <w:autoSpaceDE w:val="0"/>
        <w:autoSpaceDN w:val="0"/>
        <w:adjustRightInd w:val="0"/>
        <w:spacing w:after="0" w:line="240" w:lineRule="auto"/>
        <w:jc w:val="both"/>
        <w:rPr>
          <w:rFonts w:ascii="Tahoma" w:hAnsi="Tahoma" w:cs="Tahoma"/>
          <w:b/>
          <w:sz w:val="24"/>
          <w:szCs w:val="24"/>
        </w:rPr>
      </w:pPr>
    </w:p>
    <w:p w:rsidR="00947C8B" w:rsidRPr="000E34C1" w:rsidRDefault="00E13B91" w:rsidP="000E34C1">
      <w:pPr>
        <w:autoSpaceDE w:val="0"/>
        <w:autoSpaceDN w:val="0"/>
        <w:adjustRightInd w:val="0"/>
        <w:spacing w:after="0" w:line="240" w:lineRule="auto"/>
        <w:jc w:val="both"/>
        <w:rPr>
          <w:rFonts w:ascii="Tahoma" w:hAnsi="Tahoma" w:cs="Tahoma"/>
          <w:b/>
          <w:sz w:val="24"/>
          <w:szCs w:val="24"/>
        </w:rPr>
      </w:pPr>
      <w:r w:rsidRPr="000E34C1">
        <w:rPr>
          <w:rFonts w:ascii="Tahoma" w:hAnsi="Tahoma" w:cs="Tahoma"/>
          <w:b/>
          <w:sz w:val="24"/>
          <w:szCs w:val="24"/>
        </w:rPr>
        <w:t>2. Do you have views on our proposed approach to data collection and analysis?</w:t>
      </w:r>
    </w:p>
    <w:p w:rsidR="00947C8B" w:rsidRPr="000E34C1" w:rsidRDefault="00947C8B" w:rsidP="000E34C1">
      <w:pPr>
        <w:autoSpaceDE w:val="0"/>
        <w:autoSpaceDN w:val="0"/>
        <w:adjustRightInd w:val="0"/>
        <w:spacing w:after="0" w:line="240" w:lineRule="auto"/>
        <w:jc w:val="both"/>
        <w:rPr>
          <w:rFonts w:ascii="Tahoma" w:hAnsi="Tahoma" w:cs="Tahoma"/>
          <w:b/>
          <w:sz w:val="24"/>
          <w:szCs w:val="24"/>
        </w:rPr>
      </w:pPr>
    </w:p>
    <w:p w:rsidR="00E324D7" w:rsidRPr="000E34C1" w:rsidRDefault="00E324D7" w:rsidP="000E34C1">
      <w:pPr>
        <w:autoSpaceDE w:val="0"/>
        <w:autoSpaceDN w:val="0"/>
        <w:adjustRightInd w:val="0"/>
        <w:spacing w:after="0" w:line="240" w:lineRule="auto"/>
        <w:jc w:val="both"/>
        <w:rPr>
          <w:rFonts w:ascii="Tahoma" w:hAnsi="Tahoma" w:cs="Tahoma"/>
          <w:sz w:val="24"/>
          <w:szCs w:val="24"/>
        </w:rPr>
      </w:pPr>
      <w:r w:rsidRPr="000E34C1">
        <w:rPr>
          <w:rFonts w:ascii="Tahoma" w:hAnsi="Tahoma" w:cs="Tahoma"/>
          <w:sz w:val="24"/>
          <w:szCs w:val="24"/>
        </w:rPr>
        <w:t xml:space="preserve">Fuller data on prices across the district heating sector would be </w:t>
      </w:r>
      <w:r w:rsidR="005C437F" w:rsidRPr="000E34C1">
        <w:rPr>
          <w:rFonts w:ascii="Tahoma" w:hAnsi="Tahoma" w:cs="Tahoma"/>
          <w:sz w:val="24"/>
          <w:szCs w:val="24"/>
        </w:rPr>
        <w:t>very</w:t>
      </w:r>
      <w:r w:rsidRPr="000E34C1">
        <w:rPr>
          <w:rFonts w:ascii="Tahoma" w:hAnsi="Tahoma" w:cs="Tahoma"/>
          <w:sz w:val="24"/>
          <w:szCs w:val="24"/>
        </w:rPr>
        <w:t xml:space="preserve"> welcome, including how prices compare to other </w:t>
      </w:r>
      <w:r w:rsidR="001E2486">
        <w:rPr>
          <w:rFonts w:ascii="Tahoma" w:hAnsi="Tahoma" w:cs="Tahoma"/>
          <w:sz w:val="24"/>
          <w:szCs w:val="24"/>
        </w:rPr>
        <w:t>heat</w:t>
      </w:r>
      <w:r w:rsidR="001E2486" w:rsidRPr="000E34C1">
        <w:rPr>
          <w:rFonts w:ascii="Tahoma" w:hAnsi="Tahoma" w:cs="Tahoma"/>
          <w:sz w:val="24"/>
          <w:szCs w:val="24"/>
        </w:rPr>
        <w:t xml:space="preserve"> </w:t>
      </w:r>
      <w:r w:rsidRPr="000E34C1">
        <w:rPr>
          <w:rFonts w:ascii="Tahoma" w:hAnsi="Tahoma" w:cs="Tahoma"/>
          <w:sz w:val="24"/>
          <w:szCs w:val="24"/>
        </w:rPr>
        <w:t xml:space="preserve">sources. It would also be insightful to expand the scope beyond price to explore the overall customer experience of district heating e.g. how faults are dealt with, quality of service, compensation, and warmth and comfort. </w:t>
      </w:r>
    </w:p>
    <w:p w:rsidR="00E324D7" w:rsidRPr="000E34C1" w:rsidRDefault="00E324D7" w:rsidP="000E34C1">
      <w:pPr>
        <w:autoSpaceDE w:val="0"/>
        <w:autoSpaceDN w:val="0"/>
        <w:adjustRightInd w:val="0"/>
        <w:spacing w:after="0" w:line="240" w:lineRule="auto"/>
        <w:jc w:val="both"/>
        <w:rPr>
          <w:rFonts w:ascii="Tahoma" w:hAnsi="Tahoma" w:cs="Tahoma"/>
          <w:b/>
          <w:sz w:val="24"/>
          <w:szCs w:val="24"/>
        </w:rPr>
      </w:pPr>
    </w:p>
    <w:p w:rsidR="00E13B91" w:rsidRPr="000E34C1" w:rsidRDefault="00947C8B" w:rsidP="000E34C1">
      <w:pPr>
        <w:autoSpaceDE w:val="0"/>
        <w:autoSpaceDN w:val="0"/>
        <w:adjustRightInd w:val="0"/>
        <w:spacing w:after="0" w:line="240" w:lineRule="auto"/>
        <w:jc w:val="both"/>
        <w:rPr>
          <w:rFonts w:ascii="Tahoma" w:hAnsi="Tahoma" w:cs="Tahoma"/>
          <w:b/>
          <w:sz w:val="24"/>
          <w:szCs w:val="24"/>
        </w:rPr>
      </w:pPr>
      <w:r w:rsidRPr="000E34C1">
        <w:rPr>
          <w:rFonts w:ascii="Tahoma" w:hAnsi="Tahoma" w:cs="Tahoma"/>
          <w:b/>
          <w:sz w:val="24"/>
          <w:szCs w:val="24"/>
        </w:rPr>
        <w:t xml:space="preserve">3. </w:t>
      </w:r>
      <w:r w:rsidR="00E13B91" w:rsidRPr="000E34C1">
        <w:rPr>
          <w:rFonts w:ascii="Tahoma" w:hAnsi="Tahoma" w:cs="Tahoma"/>
          <w:b/>
          <w:sz w:val="24"/>
          <w:szCs w:val="24"/>
        </w:rPr>
        <w:t>Do you think that the potential remedies to control outcomes directly are appropriate? What are the potential benefits / risks in implementing such remedies and how should they be designed to maximise benefits? Are there other remedies that we should be considering?</w:t>
      </w:r>
    </w:p>
    <w:p w:rsidR="00947C8B" w:rsidRPr="000E34C1" w:rsidRDefault="00947C8B" w:rsidP="000E34C1">
      <w:pPr>
        <w:autoSpaceDE w:val="0"/>
        <w:autoSpaceDN w:val="0"/>
        <w:adjustRightInd w:val="0"/>
        <w:spacing w:after="0" w:line="240" w:lineRule="auto"/>
        <w:jc w:val="both"/>
        <w:rPr>
          <w:rFonts w:ascii="Tahoma" w:hAnsi="Tahoma" w:cs="Tahoma"/>
          <w:sz w:val="24"/>
          <w:szCs w:val="24"/>
        </w:rPr>
      </w:pPr>
    </w:p>
    <w:p w:rsidR="00E77DDE" w:rsidRDefault="00EE31E5" w:rsidP="000E34C1">
      <w:pPr>
        <w:autoSpaceDE w:val="0"/>
        <w:autoSpaceDN w:val="0"/>
        <w:adjustRightInd w:val="0"/>
        <w:spacing w:after="0" w:line="240" w:lineRule="auto"/>
        <w:jc w:val="both"/>
        <w:rPr>
          <w:rFonts w:ascii="Tahoma" w:hAnsi="Tahoma" w:cs="Tahoma"/>
          <w:sz w:val="24"/>
          <w:szCs w:val="24"/>
        </w:rPr>
      </w:pPr>
      <w:r w:rsidRPr="000E34C1">
        <w:rPr>
          <w:rFonts w:ascii="Tahoma" w:hAnsi="Tahoma" w:cs="Tahoma"/>
          <w:sz w:val="24"/>
          <w:szCs w:val="24"/>
        </w:rPr>
        <w:t xml:space="preserve">Exploring rules around pricing and quality of service were key recommendations of our research. </w:t>
      </w:r>
      <w:r w:rsidR="007E62AD" w:rsidRPr="000E34C1">
        <w:rPr>
          <w:rFonts w:ascii="Tahoma" w:hAnsi="Tahoma" w:cs="Tahoma"/>
          <w:sz w:val="24"/>
          <w:szCs w:val="24"/>
        </w:rPr>
        <w:t xml:space="preserve">It would be beneficial for any remedies around price or quality of service to consider the experience of other European countries which have more </w:t>
      </w:r>
      <w:r w:rsidR="00D36ECB" w:rsidRPr="000E34C1">
        <w:rPr>
          <w:rFonts w:ascii="Tahoma" w:hAnsi="Tahoma" w:cs="Tahoma"/>
          <w:sz w:val="24"/>
          <w:szCs w:val="24"/>
        </w:rPr>
        <w:t>numerous district heating sche</w:t>
      </w:r>
      <w:r w:rsidRPr="000E34C1">
        <w:rPr>
          <w:rFonts w:ascii="Tahoma" w:hAnsi="Tahoma" w:cs="Tahoma"/>
          <w:sz w:val="24"/>
          <w:szCs w:val="24"/>
        </w:rPr>
        <w:t xml:space="preserve">mes, as drawn out in our research. For example, in Denmark, the Netherlands and Sweden there are requirements to publish prices. Price caps exist in Norway and the </w:t>
      </w:r>
      <w:r w:rsidRPr="000E34C1">
        <w:rPr>
          <w:rFonts w:ascii="Tahoma" w:hAnsi="Tahoma" w:cs="Tahoma"/>
          <w:sz w:val="24"/>
          <w:szCs w:val="24"/>
        </w:rPr>
        <w:lastRenderedPageBreak/>
        <w:t xml:space="preserve">Netherlands. In Denmark, Norway, the Netherlands and Germany </w:t>
      </w:r>
      <w:r w:rsidR="001E2486">
        <w:rPr>
          <w:rFonts w:ascii="Tahoma" w:hAnsi="Tahoma" w:cs="Tahoma"/>
          <w:sz w:val="24"/>
          <w:szCs w:val="24"/>
        </w:rPr>
        <w:t xml:space="preserve">regulations </w:t>
      </w:r>
      <w:r w:rsidRPr="000E34C1">
        <w:rPr>
          <w:rFonts w:ascii="Tahoma" w:hAnsi="Tahoma" w:cs="Tahoma"/>
          <w:sz w:val="24"/>
          <w:szCs w:val="24"/>
        </w:rPr>
        <w:t xml:space="preserve">specify how the price for district heating must be calculated. In Sweden, consumers always have the right to request a negotiation with regard to price and capacity that has been agreed upon. </w:t>
      </w:r>
    </w:p>
    <w:p w:rsidR="00E77DDE" w:rsidRDefault="00E77DDE" w:rsidP="00E77DDE">
      <w:p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The University of Edinburgh’s Report to the Scottish Government Working Group on District Heating drew out more examples of European consumer protections. For example, in the Netherlands companies must demonstrate financial capacity to continue supply of heat (through submission of financial statements etc</w:t>
      </w:r>
      <w:r w:rsidR="007C5DB3">
        <w:rPr>
          <w:rFonts w:ascii="Tahoma" w:hAnsi="Tahoma" w:cs="Tahoma"/>
          <w:sz w:val="24"/>
          <w:szCs w:val="24"/>
        </w:rPr>
        <w:t>.</w:t>
      </w:r>
      <w:r>
        <w:rPr>
          <w:rFonts w:ascii="Tahoma" w:hAnsi="Tahoma" w:cs="Tahoma"/>
          <w:sz w:val="24"/>
          <w:szCs w:val="24"/>
        </w:rPr>
        <w:t>) as well as forecasting how heat demand will be met.</w:t>
      </w:r>
      <w:r>
        <w:rPr>
          <w:rStyle w:val="FootnoteReference"/>
          <w:rFonts w:ascii="Tahoma" w:hAnsi="Tahoma" w:cs="Tahoma"/>
          <w:sz w:val="24"/>
          <w:szCs w:val="24"/>
        </w:rPr>
        <w:footnoteReference w:id="27"/>
      </w:r>
      <w:r>
        <w:rPr>
          <w:rFonts w:ascii="Tahoma" w:hAnsi="Tahoma" w:cs="Tahoma"/>
          <w:sz w:val="24"/>
          <w:szCs w:val="24"/>
        </w:rPr>
        <w:t xml:space="preserve"> </w:t>
      </w:r>
      <w:r w:rsidRPr="000E34C1">
        <w:rPr>
          <w:rFonts w:ascii="Tahoma" w:hAnsi="Tahoma" w:cs="Tahoma"/>
          <w:sz w:val="24"/>
          <w:szCs w:val="24"/>
        </w:rPr>
        <w:t xml:space="preserve">Evidently, not all of these measures </w:t>
      </w:r>
      <w:r>
        <w:rPr>
          <w:rFonts w:ascii="Tahoma" w:hAnsi="Tahoma" w:cs="Tahoma"/>
          <w:sz w:val="24"/>
          <w:szCs w:val="24"/>
        </w:rPr>
        <w:t>may</w:t>
      </w:r>
      <w:r w:rsidRPr="000E34C1">
        <w:rPr>
          <w:rFonts w:ascii="Tahoma" w:hAnsi="Tahoma" w:cs="Tahoma"/>
          <w:sz w:val="24"/>
          <w:szCs w:val="24"/>
        </w:rPr>
        <w:t xml:space="preserve"> be practical</w:t>
      </w:r>
      <w:r>
        <w:rPr>
          <w:rFonts w:ascii="Tahoma" w:hAnsi="Tahoma" w:cs="Tahoma"/>
          <w:sz w:val="24"/>
          <w:szCs w:val="24"/>
        </w:rPr>
        <w:t xml:space="preserve"> in Scotland</w:t>
      </w:r>
      <w:r w:rsidRPr="000E34C1">
        <w:rPr>
          <w:rFonts w:ascii="Tahoma" w:hAnsi="Tahoma" w:cs="Tahoma"/>
          <w:sz w:val="24"/>
          <w:szCs w:val="24"/>
        </w:rPr>
        <w:t xml:space="preserve">, but they give </w:t>
      </w:r>
      <w:r>
        <w:rPr>
          <w:rFonts w:ascii="Tahoma" w:hAnsi="Tahoma" w:cs="Tahoma"/>
          <w:sz w:val="24"/>
          <w:szCs w:val="24"/>
        </w:rPr>
        <w:t>examples of some regulatory options</w:t>
      </w:r>
      <w:r w:rsidRPr="000E34C1">
        <w:rPr>
          <w:rFonts w:ascii="Tahoma" w:hAnsi="Tahoma" w:cs="Tahoma"/>
          <w:sz w:val="24"/>
          <w:szCs w:val="24"/>
        </w:rPr>
        <w:t xml:space="preserve">. </w:t>
      </w:r>
    </w:p>
    <w:p w:rsidR="00202FE0" w:rsidRPr="000E34C1" w:rsidRDefault="00202FE0" w:rsidP="00E77DDE">
      <w:pPr>
        <w:autoSpaceDE w:val="0"/>
        <w:autoSpaceDN w:val="0"/>
        <w:adjustRightInd w:val="0"/>
        <w:spacing w:after="0" w:line="240" w:lineRule="auto"/>
        <w:jc w:val="both"/>
        <w:rPr>
          <w:rFonts w:ascii="Tahoma" w:hAnsi="Tahoma" w:cs="Tahoma"/>
          <w:sz w:val="24"/>
          <w:szCs w:val="24"/>
        </w:rPr>
      </w:pPr>
    </w:p>
    <w:p w:rsidR="0038151B" w:rsidRPr="000E34C1" w:rsidRDefault="003D70FE" w:rsidP="000E34C1">
      <w:pPr>
        <w:autoSpaceDE w:val="0"/>
        <w:autoSpaceDN w:val="0"/>
        <w:adjustRightInd w:val="0"/>
        <w:spacing w:after="0" w:line="240" w:lineRule="auto"/>
        <w:jc w:val="both"/>
        <w:rPr>
          <w:rFonts w:ascii="Tahoma" w:hAnsi="Tahoma" w:cs="Tahoma"/>
          <w:sz w:val="24"/>
          <w:szCs w:val="24"/>
        </w:rPr>
      </w:pPr>
      <w:r w:rsidRPr="000E34C1">
        <w:rPr>
          <w:rFonts w:ascii="Tahoma" w:hAnsi="Tahoma" w:cs="Tahoma"/>
          <w:sz w:val="24"/>
          <w:szCs w:val="24"/>
        </w:rPr>
        <w:t xml:space="preserve">Our </w:t>
      </w:r>
      <w:r w:rsidR="005C437F" w:rsidRPr="000E34C1">
        <w:rPr>
          <w:rFonts w:ascii="Tahoma" w:hAnsi="Tahoma" w:cs="Tahoma"/>
          <w:sz w:val="24"/>
          <w:szCs w:val="24"/>
        </w:rPr>
        <w:t xml:space="preserve">report </w:t>
      </w:r>
      <w:r w:rsidR="0038151B" w:rsidRPr="000E34C1">
        <w:rPr>
          <w:rFonts w:ascii="Tahoma" w:hAnsi="Tahoma" w:cs="Tahoma"/>
          <w:sz w:val="24"/>
          <w:szCs w:val="24"/>
        </w:rPr>
        <w:t>found that it is not clear whether or how price controls could be implemented at a Scottish level under ex</w:t>
      </w:r>
      <w:r w:rsidR="00E324D7" w:rsidRPr="000E34C1">
        <w:rPr>
          <w:rFonts w:ascii="Tahoma" w:hAnsi="Tahoma" w:cs="Tahoma"/>
          <w:sz w:val="24"/>
          <w:szCs w:val="24"/>
        </w:rPr>
        <w:t>isting legislation. However, our research identified this as an important area of consumer protection</w:t>
      </w:r>
      <w:r w:rsidR="000E34C1" w:rsidRPr="000E34C1">
        <w:rPr>
          <w:rFonts w:ascii="Tahoma" w:hAnsi="Tahoma" w:cs="Tahoma"/>
          <w:sz w:val="24"/>
          <w:szCs w:val="24"/>
        </w:rPr>
        <w:t xml:space="preserve"> and provided examples of options that should be explored</w:t>
      </w:r>
      <w:r w:rsidR="00E324D7" w:rsidRPr="000E34C1">
        <w:rPr>
          <w:rFonts w:ascii="Tahoma" w:hAnsi="Tahoma" w:cs="Tahoma"/>
          <w:sz w:val="24"/>
          <w:szCs w:val="24"/>
        </w:rPr>
        <w:t>. As district heating networks generally operate as supply monopolies, we believe that it is reasonable to exercise some control over pricing to protect consumers from detriment, as they are generally not able to switch tariff or supplier.</w:t>
      </w:r>
      <w:r w:rsidR="005C437F" w:rsidRPr="000E34C1">
        <w:rPr>
          <w:rFonts w:ascii="Tahoma" w:hAnsi="Tahoma" w:cs="Tahoma"/>
          <w:sz w:val="24"/>
          <w:szCs w:val="24"/>
        </w:rPr>
        <w:t xml:space="preserve"> W</w:t>
      </w:r>
      <w:r w:rsidR="0038151B" w:rsidRPr="000E34C1">
        <w:rPr>
          <w:rFonts w:ascii="Tahoma" w:hAnsi="Tahoma" w:cs="Tahoma"/>
          <w:sz w:val="24"/>
          <w:szCs w:val="24"/>
        </w:rPr>
        <w:t>e would</w:t>
      </w:r>
      <w:r w:rsidR="00E324D7" w:rsidRPr="000E34C1">
        <w:rPr>
          <w:rFonts w:ascii="Tahoma" w:hAnsi="Tahoma" w:cs="Tahoma"/>
          <w:sz w:val="24"/>
          <w:szCs w:val="24"/>
        </w:rPr>
        <w:t xml:space="preserve"> therefore</w:t>
      </w:r>
      <w:r w:rsidR="0038151B" w:rsidRPr="000E34C1">
        <w:rPr>
          <w:rFonts w:ascii="Tahoma" w:hAnsi="Tahoma" w:cs="Tahoma"/>
          <w:sz w:val="24"/>
          <w:szCs w:val="24"/>
        </w:rPr>
        <w:t xml:space="preserve"> welcome exploration of the viability of the following measures:</w:t>
      </w:r>
    </w:p>
    <w:p w:rsidR="0038151B" w:rsidRPr="000E34C1" w:rsidRDefault="0038151B" w:rsidP="000E34C1">
      <w:pPr>
        <w:autoSpaceDE w:val="0"/>
        <w:autoSpaceDN w:val="0"/>
        <w:adjustRightInd w:val="0"/>
        <w:spacing w:after="0" w:line="240" w:lineRule="auto"/>
        <w:jc w:val="both"/>
        <w:rPr>
          <w:rFonts w:ascii="Tahoma" w:hAnsi="Tahoma" w:cs="Tahoma"/>
          <w:sz w:val="24"/>
          <w:szCs w:val="24"/>
        </w:rPr>
      </w:pPr>
    </w:p>
    <w:p w:rsidR="0038151B" w:rsidRPr="000E34C1" w:rsidRDefault="0038151B" w:rsidP="000E34C1">
      <w:pPr>
        <w:pStyle w:val="ListParagraph"/>
        <w:numPr>
          <w:ilvl w:val="0"/>
          <w:numId w:val="9"/>
        </w:numPr>
        <w:autoSpaceDE w:val="0"/>
        <w:autoSpaceDN w:val="0"/>
        <w:adjustRightInd w:val="0"/>
        <w:spacing w:after="0" w:line="240" w:lineRule="auto"/>
        <w:jc w:val="both"/>
        <w:rPr>
          <w:rFonts w:ascii="Tahoma" w:hAnsi="Tahoma" w:cs="Tahoma"/>
          <w:sz w:val="24"/>
          <w:szCs w:val="24"/>
        </w:rPr>
      </w:pPr>
      <w:r w:rsidRPr="000E34C1">
        <w:rPr>
          <w:rFonts w:ascii="Tahoma" w:hAnsi="Tahoma" w:cs="Tahoma"/>
          <w:b/>
          <w:sz w:val="24"/>
          <w:szCs w:val="24"/>
        </w:rPr>
        <w:t xml:space="preserve">Price cap </w:t>
      </w:r>
      <w:r w:rsidRPr="000E34C1">
        <w:rPr>
          <w:rFonts w:ascii="Tahoma" w:hAnsi="Tahoma" w:cs="Tahoma"/>
          <w:sz w:val="24"/>
          <w:szCs w:val="24"/>
        </w:rPr>
        <w:t xml:space="preserve">– where prices would be capped at no more than the equivalent cost of the cheapest alternative system in the area. </w:t>
      </w:r>
    </w:p>
    <w:p w:rsidR="0038151B" w:rsidRPr="000E34C1" w:rsidRDefault="0038151B" w:rsidP="000E34C1">
      <w:pPr>
        <w:pStyle w:val="ListParagraph"/>
        <w:numPr>
          <w:ilvl w:val="0"/>
          <w:numId w:val="9"/>
        </w:numPr>
        <w:autoSpaceDE w:val="0"/>
        <w:autoSpaceDN w:val="0"/>
        <w:adjustRightInd w:val="0"/>
        <w:spacing w:after="0" w:line="240" w:lineRule="auto"/>
        <w:jc w:val="both"/>
        <w:rPr>
          <w:rFonts w:ascii="Tahoma" w:hAnsi="Tahoma" w:cs="Tahoma"/>
          <w:sz w:val="24"/>
          <w:szCs w:val="24"/>
        </w:rPr>
      </w:pPr>
      <w:r w:rsidRPr="000E34C1">
        <w:rPr>
          <w:rFonts w:ascii="Tahoma" w:hAnsi="Tahoma" w:cs="Tahoma"/>
          <w:b/>
          <w:sz w:val="24"/>
          <w:szCs w:val="24"/>
        </w:rPr>
        <w:t>Price-setting criteria</w:t>
      </w:r>
      <w:r w:rsidRPr="000E34C1">
        <w:rPr>
          <w:rFonts w:ascii="Tahoma" w:hAnsi="Tahoma" w:cs="Tahoma"/>
          <w:sz w:val="24"/>
          <w:szCs w:val="24"/>
        </w:rPr>
        <w:t xml:space="preserve"> – To makes clear the basis on which prices should be determined based on cost base. This may help to prevent overcharging by ensuring prices for heat supply reflect given criteria such as running costs – comparable to a rate of return approach rather than a price cap. This would have to be combined with technical standards to promote the efficiency of schemes so that prices are not overly inflated by high running costs. This could also give consumers an opportunity to raise concerns about high running costs, and help the regulator to identify inefficient schemes, enabling support to be directed at those schemes where appropriate.</w:t>
      </w:r>
      <w:r w:rsidR="00B517DD" w:rsidRPr="000E34C1">
        <w:rPr>
          <w:rStyle w:val="FootnoteReference"/>
          <w:rFonts w:ascii="Tahoma" w:hAnsi="Tahoma" w:cs="Tahoma"/>
          <w:sz w:val="24"/>
          <w:szCs w:val="24"/>
        </w:rPr>
        <w:footnoteReference w:id="28"/>
      </w:r>
    </w:p>
    <w:p w:rsidR="0038151B" w:rsidRPr="000E34C1" w:rsidRDefault="0038151B" w:rsidP="000E34C1">
      <w:pPr>
        <w:autoSpaceDE w:val="0"/>
        <w:autoSpaceDN w:val="0"/>
        <w:adjustRightInd w:val="0"/>
        <w:spacing w:after="0" w:line="240" w:lineRule="auto"/>
        <w:jc w:val="both"/>
        <w:rPr>
          <w:rFonts w:ascii="Tahoma" w:hAnsi="Tahoma" w:cs="Tahoma"/>
          <w:b/>
          <w:sz w:val="24"/>
          <w:szCs w:val="24"/>
        </w:rPr>
      </w:pPr>
    </w:p>
    <w:p w:rsidR="0038151B" w:rsidRPr="000E34C1" w:rsidRDefault="0038151B" w:rsidP="000E34C1">
      <w:pPr>
        <w:autoSpaceDE w:val="0"/>
        <w:autoSpaceDN w:val="0"/>
        <w:adjustRightInd w:val="0"/>
        <w:spacing w:after="0" w:line="240" w:lineRule="auto"/>
        <w:jc w:val="both"/>
        <w:rPr>
          <w:rFonts w:ascii="Tahoma" w:hAnsi="Tahoma" w:cs="Tahoma"/>
          <w:sz w:val="24"/>
          <w:szCs w:val="24"/>
        </w:rPr>
      </w:pPr>
    </w:p>
    <w:p w:rsidR="00CA1E2D" w:rsidRDefault="00CA1E2D" w:rsidP="00CA1E2D">
      <w:pPr>
        <w:autoSpaceDE w:val="0"/>
        <w:autoSpaceDN w:val="0"/>
        <w:adjustRightInd w:val="0"/>
        <w:spacing w:after="0" w:line="240" w:lineRule="auto"/>
        <w:jc w:val="right"/>
        <w:rPr>
          <w:b/>
          <w:sz w:val="28"/>
          <w:szCs w:val="28"/>
        </w:rPr>
      </w:pPr>
      <w:r>
        <w:rPr>
          <w:b/>
          <w:sz w:val="28"/>
          <w:szCs w:val="28"/>
        </w:rPr>
        <w:t>Marcus Wilson, Energy Policy Officer</w:t>
      </w:r>
    </w:p>
    <w:p w:rsidR="00CA1E2D" w:rsidRDefault="00163160" w:rsidP="00CA1E2D">
      <w:pPr>
        <w:autoSpaceDE w:val="0"/>
        <w:autoSpaceDN w:val="0"/>
        <w:adjustRightInd w:val="0"/>
        <w:spacing w:after="0" w:line="240" w:lineRule="auto"/>
        <w:jc w:val="right"/>
        <w:rPr>
          <w:b/>
          <w:sz w:val="28"/>
          <w:szCs w:val="28"/>
        </w:rPr>
      </w:pPr>
      <w:hyperlink r:id="rId9" w:history="1">
        <w:r w:rsidR="00CA1E2D" w:rsidRPr="00570DBE">
          <w:rPr>
            <w:rStyle w:val="Hyperlink"/>
            <w:b/>
            <w:sz w:val="28"/>
            <w:szCs w:val="28"/>
          </w:rPr>
          <w:t>marcus.wilson@cas.org.uk</w:t>
        </w:r>
      </w:hyperlink>
    </w:p>
    <w:p w:rsidR="00CA1E2D" w:rsidRDefault="00CA1E2D" w:rsidP="00CA1E2D">
      <w:pPr>
        <w:autoSpaceDE w:val="0"/>
        <w:autoSpaceDN w:val="0"/>
        <w:adjustRightInd w:val="0"/>
        <w:spacing w:after="0" w:line="240" w:lineRule="auto"/>
        <w:jc w:val="right"/>
        <w:rPr>
          <w:b/>
          <w:sz w:val="28"/>
          <w:szCs w:val="28"/>
        </w:rPr>
      </w:pPr>
      <w:r>
        <w:rPr>
          <w:b/>
          <w:sz w:val="28"/>
          <w:szCs w:val="28"/>
        </w:rPr>
        <w:t>0131 550 1016</w:t>
      </w:r>
    </w:p>
    <w:p w:rsidR="0038151B" w:rsidRDefault="0038151B" w:rsidP="00947C8B">
      <w:pPr>
        <w:autoSpaceDE w:val="0"/>
        <w:autoSpaceDN w:val="0"/>
        <w:adjustRightInd w:val="0"/>
        <w:spacing w:after="0" w:line="240" w:lineRule="auto"/>
        <w:rPr>
          <w:b/>
          <w:sz w:val="28"/>
          <w:szCs w:val="28"/>
        </w:rPr>
      </w:pPr>
    </w:p>
    <w:p w:rsidR="0038151B" w:rsidRDefault="0038151B" w:rsidP="00947C8B">
      <w:pPr>
        <w:autoSpaceDE w:val="0"/>
        <w:autoSpaceDN w:val="0"/>
        <w:adjustRightInd w:val="0"/>
        <w:spacing w:after="0" w:line="240" w:lineRule="auto"/>
        <w:rPr>
          <w:b/>
          <w:sz w:val="28"/>
          <w:szCs w:val="28"/>
        </w:rPr>
      </w:pPr>
    </w:p>
    <w:sectPr w:rsidR="0038151B" w:rsidSect="009E1DC0">
      <w:headerReference w:type="default" r:id="rId10"/>
      <w:footerReference w:type="default" r:id="rId11"/>
      <w:headerReference w:type="first" r:id="rId12"/>
      <w:footerReference w:type="first" r:id="rId1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EDD" w:rsidRDefault="00994EDD" w:rsidP="004008E0">
      <w:pPr>
        <w:spacing w:after="0" w:line="240" w:lineRule="auto"/>
      </w:pPr>
      <w:r>
        <w:separator/>
      </w:r>
    </w:p>
  </w:endnote>
  <w:endnote w:type="continuationSeparator" w:id="0">
    <w:p w:rsidR="00994EDD" w:rsidRDefault="00994EDD" w:rsidP="00400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031167"/>
      <w:docPartObj>
        <w:docPartGallery w:val="Page Numbers (Bottom of Page)"/>
        <w:docPartUnique/>
      </w:docPartObj>
    </w:sdtPr>
    <w:sdtEndPr>
      <w:rPr>
        <w:noProof/>
      </w:rPr>
    </w:sdtEndPr>
    <w:sdtContent>
      <w:p w:rsidR="0042417D" w:rsidRDefault="0042417D">
        <w:pPr>
          <w:pStyle w:val="Footer"/>
          <w:jc w:val="right"/>
        </w:pPr>
        <w:r>
          <w:fldChar w:fldCharType="begin"/>
        </w:r>
        <w:r>
          <w:instrText xml:space="preserve"> PAGE   \* MERGEFORMAT </w:instrText>
        </w:r>
        <w:r>
          <w:fldChar w:fldCharType="separate"/>
        </w:r>
        <w:r w:rsidR="00163160">
          <w:rPr>
            <w:noProof/>
          </w:rPr>
          <w:t>2</w:t>
        </w:r>
        <w:r>
          <w:rPr>
            <w:noProof/>
          </w:rPr>
          <w:fldChar w:fldCharType="end"/>
        </w:r>
      </w:p>
    </w:sdtContent>
  </w:sdt>
  <w:p w:rsidR="0042417D" w:rsidRDefault="004241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D6E" w:rsidRPr="00100CBB" w:rsidRDefault="007D7D6E" w:rsidP="007D7D6E">
    <w:pPr>
      <w:pStyle w:val="Footer"/>
      <w:tabs>
        <w:tab w:val="clear" w:pos="4513"/>
        <w:tab w:val="clear" w:pos="9026"/>
        <w:tab w:val="left" w:pos="3145"/>
      </w:tabs>
    </w:pPr>
    <w:r>
      <w:rPr>
        <w:noProof/>
        <w:lang w:eastAsia="en-GB"/>
      </w:rPr>
      <w:drawing>
        <wp:anchor distT="0" distB="0" distL="114300" distR="114300" simplePos="0" relativeHeight="251660288" behindDoc="0" locked="0" layoutInCell="1" allowOverlap="1" wp14:anchorId="58C507FD" wp14:editId="19D06049">
          <wp:simplePos x="0" y="0"/>
          <wp:positionH relativeFrom="column">
            <wp:posOffset>5141595</wp:posOffset>
          </wp:positionH>
          <wp:positionV relativeFrom="paragraph">
            <wp:posOffset>46355</wp:posOffset>
          </wp:positionV>
          <wp:extent cx="789940" cy="7899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 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940" cy="7899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1" layoutInCell="1" allowOverlap="1" wp14:anchorId="310304DD" wp14:editId="5BDE689A">
              <wp:simplePos x="0" y="0"/>
              <wp:positionH relativeFrom="page">
                <wp:posOffset>979805</wp:posOffset>
              </wp:positionH>
              <wp:positionV relativeFrom="page">
                <wp:posOffset>9867900</wp:posOffset>
              </wp:positionV>
              <wp:extent cx="4593590" cy="605155"/>
              <wp:effectExtent l="0" t="0" r="0" b="4445"/>
              <wp:wrapTopAndBottom/>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3590" cy="605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7D6E" w:rsidRPr="00D12A89" w:rsidRDefault="007D7D6E" w:rsidP="007D7D6E">
                          <w:pPr>
                            <w:tabs>
                              <w:tab w:val="left" w:pos="1760"/>
                            </w:tabs>
                            <w:spacing w:line="200" w:lineRule="exact"/>
                            <w:jc w:val="both"/>
                            <w:rPr>
                              <w:sz w:val="16"/>
                            </w:rPr>
                          </w:pPr>
                          <w:r>
                            <w:rPr>
                              <w:sz w:val="16"/>
                            </w:rPr>
                            <w:t>The Consumer Futures Unit is part of t</w:t>
                          </w:r>
                          <w:r w:rsidRPr="00D12A89">
                            <w:rPr>
                              <w:sz w:val="16"/>
                            </w:rPr>
                            <w:t>he Scottish Association of Citizens Advice Bureaux – Citizens Advice Scotland (Scottish charity number SC016637)</w:t>
                          </w:r>
                          <w:r>
                            <w:rPr>
                              <w:sz w:val="16"/>
                            </w:rPr>
                            <w:t xml:space="preserve">. The </w:t>
                          </w:r>
                          <w:r w:rsidRPr="00D12A89">
                            <w:rPr>
                              <w:sz w:val="16"/>
                            </w:rPr>
                            <w:t>Scottish Association of Citizens Advice Bureaux trading as Citizens Advice Scotland is a Company Limited by Guarantee No. 89892</w:t>
                          </w:r>
                        </w:p>
                        <w:p w:rsidR="007D7D6E" w:rsidRDefault="007D7D6E" w:rsidP="007D7D6E">
                          <w:pPr>
                            <w:tabs>
                              <w:tab w:val="left" w:pos="1760"/>
                            </w:tabs>
                            <w:spacing w:line="200" w:lineRule="exact"/>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7.15pt;margin-top:777pt;width:361.7pt;height:47.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" stroked="f">
              <v:textbox>
                <w:txbxContent>
                  <w:p w:rsidR="007D7D6E" w:rsidRPr="00D12A89" w:rsidRDefault="007D7D6E" w:rsidP="007D7D6E">
                    <w:pPr>
                      <w:tabs>
                        <w:tab w:val="left" w:pos="1760"/>
                      </w:tabs>
                      <w:spacing w:line="200" w:lineRule="exact"/>
                      <w:jc w:val="both"/>
                      <w:rPr>
                        <w:sz w:val="16"/>
                      </w:rPr>
                    </w:pPr>
                    <w:r>
                      <w:rPr>
                        <w:sz w:val="16"/>
                      </w:rPr>
                      <w:t>The Consumer Futures Unit is part of t</w:t>
                    </w:r>
                    <w:r w:rsidRPr="00D12A89">
                      <w:rPr>
                        <w:sz w:val="16"/>
                      </w:rPr>
                      <w:t>he Scottish Association of Citizens Advice Bureaux – Citizens Advice Scotland (Scottish charity number SC016637)</w:t>
                    </w:r>
                    <w:r>
                      <w:rPr>
                        <w:sz w:val="16"/>
                      </w:rPr>
                      <w:t xml:space="preserve">. The </w:t>
                    </w:r>
                    <w:r w:rsidRPr="00D12A89">
                      <w:rPr>
                        <w:sz w:val="16"/>
                      </w:rPr>
                      <w:t>Scottish Association of Citizens Advice Bureaux trading as Citizens Advice Scotland is a Company Limited by Guarantee No. 89892</w:t>
                    </w:r>
                  </w:p>
                  <w:p w:rsidR="007D7D6E" w:rsidRDefault="007D7D6E" w:rsidP="007D7D6E">
                    <w:pPr>
                      <w:tabs>
                        <w:tab w:val="left" w:pos="1760"/>
                      </w:tabs>
                      <w:spacing w:line="200" w:lineRule="exact"/>
                      <w:rPr>
                        <w:sz w:val="18"/>
                      </w:rPr>
                    </w:pPr>
                  </w:p>
                </w:txbxContent>
              </v:textbox>
              <w10:wrap type="topAndBottom" anchorx="page" anchory="page"/>
              <w10:anchorlock/>
            </v:shape>
          </w:pict>
        </mc:Fallback>
      </mc:AlternateContent>
    </w:r>
  </w:p>
  <w:p w:rsidR="007D7D6E" w:rsidRDefault="007D7D6E">
    <w:pPr>
      <w:pStyle w:val="Footer"/>
    </w:pPr>
  </w:p>
  <w:p w:rsidR="007D7D6E" w:rsidRDefault="007D7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EDD" w:rsidRDefault="00994EDD" w:rsidP="004008E0">
      <w:pPr>
        <w:spacing w:after="0" w:line="240" w:lineRule="auto"/>
      </w:pPr>
      <w:r>
        <w:separator/>
      </w:r>
    </w:p>
  </w:footnote>
  <w:footnote w:type="continuationSeparator" w:id="0">
    <w:p w:rsidR="00994EDD" w:rsidRDefault="00994EDD" w:rsidP="004008E0">
      <w:pPr>
        <w:spacing w:after="0" w:line="240" w:lineRule="auto"/>
      </w:pPr>
      <w:r>
        <w:continuationSeparator/>
      </w:r>
    </w:p>
  </w:footnote>
  <w:footnote w:id="1">
    <w:p w:rsidR="009032BC" w:rsidRDefault="009032BC">
      <w:pPr>
        <w:pStyle w:val="FootnoteText"/>
      </w:pPr>
      <w:r>
        <w:rPr>
          <w:rStyle w:val="FootnoteReference"/>
        </w:rPr>
        <w:footnoteRef/>
      </w:r>
      <w:r w:rsidR="00731A61">
        <w:t xml:space="preserve"> </w:t>
      </w:r>
      <w:proofErr w:type="gramStart"/>
      <w:r w:rsidR="00731A61">
        <w:t>Consumer Futures Unit,</w:t>
      </w:r>
      <w:r w:rsidR="00460B82">
        <w:rPr>
          <w:i/>
        </w:rPr>
        <w:t xml:space="preserve"> Consumer Principles, </w:t>
      </w:r>
      <w:hyperlink r:id="rId1" w:history="1">
        <w:r w:rsidR="00460B82">
          <w:rPr>
            <w:rStyle w:val="Hyperlink"/>
          </w:rPr>
          <w:t>link</w:t>
        </w:r>
      </w:hyperlink>
      <w:r w:rsidR="00460B82">
        <w:t>.</w:t>
      </w:r>
      <w:proofErr w:type="gramEnd"/>
      <w:r w:rsidR="00460B82">
        <w:t xml:space="preserve"> </w:t>
      </w:r>
      <w:r>
        <w:t xml:space="preserve"> </w:t>
      </w:r>
    </w:p>
  </w:footnote>
  <w:footnote w:id="2">
    <w:p w:rsidR="009032BC" w:rsidRDefault="009032BC">
      <w:pPr>
        <w:pStyle w:val="FootnoteText"/>
      </w:pPr>
      <w:r>
        <w:rPr>
          <w:rStyle w:val="FootnoteReference"/>
        </w:rPr>
        <w:footnoteRef/>
      </w:r>
      <w:r>
        <w:t xml:space="preserve"> </w:t>
      </w:r>
      <w:proofErr w:type="gramStart"/>
      <w:r w:rsidR="001E4508">
        <w:t>Consumer Futures Unit</w:t>
      </w:r>
      <w:r w:rsidR="00731A61">
        <w:t xml:space="preserve">, </w:t>
      </w:r>
      <w:r w:rsidR="00460B82">
        <w:rPr>
          <w:i/>
        </w:rPr>
        <w:t xml:space="preserve">Different Rules for Different Fuels, </w:t>
      </w:r>
      <w:hyperlink r:id="rId2" w:history="1">
        <w:r w:rsidR="00460B82">
          <w:rPr>
            <w:rStyle w:val="Hyperlink"/>
          </w:rPr>
          <w:t>link</w:t>
        </w:r>
      </w:hyperlink>
      <w:r w:rsidR="00460B82">
        <w:t>,</w:t>
      </w:r>
      <w:r>
        <w:t xml:space="preserve"> p.40</w:t>
      </w:r>
      <w:r w:rsidR="002E5324">
        <w:t>.</w:t>
      </w:r>
      <w:proofErr w:type="gramEnd"/>
    </w:p>
  </w:footnote>
  <w:footnote w:id="3">
    <w:p w:rsidR="009032BC" w:rsidRDefault="009032BC">
      <w:pPr>
        <w:pStyle w:val="FootnoteText"/>
      </w:pPr>
      <w:r>
        <w:rPr>
          <w:rStyle w:val="FootnoteReference"/>
        </w:rPr>
        <w:footnoteRef/>
      </w:r>
      <w:r>
        <w:t xml:space="preserve"> </w:t>
      </w:r>
      <w:r w:rsidR="00460B82" w:rsidRPr="00731A61">
        <w:t>Which?</w:t>
      </w:r>
      <w:r w:rsidR="00731A61">
        <w:rPr>
          <w:i/>
        </w:rPr>
        <w:t xml:space="preserve"> </w:t>
      </w:r>
      <w:r w:rsidR="00460B82">
        <w:rPr>
          <w:i/>
        </w:rPr>
        <w:t>Turning Up the Heat,</w:t>
      </w:r>
      <w:r w:rsidR="00460B82">
        <w:t xml:space="preserve"> </w:t>
      </w:r>
      <w:hyperlink r:id="rId3" w:history="1">
        <w:r w:rsidR="00EE18E2">
          <w:rPr>
            <w:rStyle w:val="Hyperlink"/>
          </w:rPr>
          <w:t>link</w:t>
        </w:r>
      </w:hyperlink>
      <w:r>
        <w:t>, p. 13</w:t>
      </w:r>
      <w:r w:rsidR="002E5324">
        <w:t>.</w:t>
      </w:r>
    </w:p>
  </w:footnote>
  <w:footnote w:id="4">
    <w:p w:rsidR="0042417D" w:rsidRDefault="0042417D" w:rsidP="0042417D">
      <w:pPr>
        <w:pStyle w:val="FootnoteText"/>
      </w:pPr>
      <w:r>
        <w:rPr>
          <w:rStyle w:val="FootnoteReference"/>
        </w:rPr>
        <w:footnoteRef/>
      </w:r>
      <w:r>
        <w:t xml:space="preserve"> </w:t>
      </w:r>
      <w:proofErr w:type="gramStart"/>
      <w:r>
        <w:t xml:space="preserve">Consumer Futures Unit, </w:t>
      </w:r>
      <w:r w:rsidRPr="001568B3">
        <w:rPr>
          <w:i/>
        </w:rPr>
        <w:t>Hot off the Grid</w:t>
      </w:r>
      <w:r>
        <w:t xml:space="preserve">, </w:t>
      </w:r>
      <w:hyperlink r:id="rId4" w:history="1">
        <w:r w:rsidRPr="001568B3">
          <w:rPr>
            <w:rStyle w:val="Hyperlink"/>
          </w:rPr>
          <w:t>link</w:t>
        </w:r>
      </w:hyperlink>
      <w:r>
        <w:t>, p. 71.</w:t>
      </w:r>
      <w:proofErr w:type="gramEnd"/>
    </w:p>
  </w:footnote>
  <w:footnote w:id="5">
    <w:p w:rsidR="009032BC" w:rsidRDefault="009032BC">
      <w:pPr>
        <w:pStyle w:val="FootnoteText"/>
      </w:pPr>
      <w:r>
        <w:rPr>
          <w:rStyle w:val="FootnoteReference"/>
        </w:rPr>
        <w:footnoteRef/>
      </w:r>
      <w:r>
        <w:t xml:space="preserve"> </w:t>
      </w:r>
      <w:r w:rsidR="00A27361" w:rsidRPr="00A27361">
        <w:t>Which?</w:t>
      </w:r>
      <w:r w:rsidR="00A27361" w:rsidRPr="00A27361">
        <w:rPr>
          <w:i/>
        </w:rPr>
        <w:t xml:space="preserve"> Turning </w:t>
      </w:r>
      <w:proofErr w:type="gramStart"/>
      <w:r w:rsidR="00A27361" w:rsidRPr="00A27361">
        <w:rPr>
          <w:i/>
        </w:rPr>
        <w:t>Up</w:t>
      </w:r>
      <w:proofErr w:type="gramEnd"/>
      <w:r w:rsidR="00A27361" w:rsidRPr="00A27361">
        <w:rPr>
          <w:i/>
        </w:rPr>
        <w:t xml:space="preserve"> the Heat,</w:t>
      </w:r>
      <w:r w:rsidR="00A27361" w:rsidRPr="00A27361">
        <w:t xml:space="preserve"> </w:t>
      </w:r>
      <w:hyperlink r:id="rId5" w:history="1">
        <w:r w:rsidR="00A27361" w:rsidRPr="00A27361">
          <w:rPr>
            <w:rStyle w:val="Hyperlink"/>
          </w:rPr>
          <w:t>link</w:t>
        </w:r>
      </w:hyperlink>
      <w:r w:rsidR="00A27361" w:rsidRPr="00A27361">
        <w:t>, p. 13.</w:t>
      </w:r>
    </w:p>
  </w:footnote>
  <w:footnote w:id="6">
    <w:p w:rsidR="009032BC" w:rsidRPr="009032BC" w:rsidRDefault="009032BC">
      <w:pPr>
        <w:pStyle w:val="FootnoteText"/>
        <w:rPr>
          <w:b/>
        </w:rPr>
      </w:pPr>
      <w:r>
        <w:rPr>
          <w:rStyle w:val="FootnoteReference"/>
        </w:rPr>
        <w:footnoteRef/>
      </w:r>
      <w:r>
        <w:t xml:space="preserve"> </w:t>
      </w:r>
      <w:r w:rsidR="00460B82" w:rsidRPr="00731A61">
        <w:t xml:space="preserve">Heat </w:t>
      </w:r>
      <w:r w:rsidR="00731A61" w:rsidRPr="00731A61">
        <w:t>Trust,</w:t>
      </w:r>
      <w:r w:rsidR="00460B82">
        <w:rPr>
          <w:i/>
        </w:rPr>
        <w:t xml:space="preserve"> Annual Report, </w:t>
      </w:r>
      <w:hyperlink r:id="rId6" w:history="1">
        <w:r w:rsidR="00460B82">
          <w:rPr>
            <w:rStyle w:val="Hyperlink"/>
          </w:rPr>
          <w:t>link</w:t>
        </w:r>
      </w:hyperlink>
      <w:r>
        <w:t xml:space="preserve">, p.16. </w:t>
      </w:r>
    </w:p>
  </w:footnote>
  <w:footnote w:id="7">
    <w:p w:rsidR="009032BC" w:rsidRDefault="009032BC">
      <w:pPr>
        <w:pStyle w:val="FootnoteText"/>
      </w:pPr>
      <w:r>
        <w:rPr>
          <w:rStyle w:val="FootnoteReference"/>
        </w:rPr>
        <w:footnoteRef/>
      </w:r>
      <w:r>
        <w:t xml:space="preserve"> </w:t>
      </w:r>
      <w:proofErr w:type="gramStart"/>
      <w:r w:rsidR="00731A61">
        <w:t xml:space="preserve">UK Government, </w:t>
      </w:r>
      <w:r w:rsidR="005423DB" w:rsidRPr="00731A61">
        <w:rPr>
          <w:i/>
        </w:rPr>
        <w:t>Heat Network (Metering and Billing) Regulations 2014,</w:t>
      </w:r>
      <w:r w:rsidR="005423DB">
        <w:rPr>
          <w:i/>
        </w:rPr>
        <w:t xml:space="preserve"> </w:t>
      </w:r>
      <w:hyperlink r:id="rId7" w:history="1">
        <w:r w:rsidR="005423DB">
          <w:rPr>
            <w:rStyle w:val="Hyperlink"/>
          </w:rPr>
          <w:t>link</w:t>
        </w:r>
      </w:hyperlink>
      <w:r w:rsidR="005423DB">
        <w:t>.</w:t>
      </w:r>
      <w:proofErr w:type="gramEnd"/>
      <w:r>
        <w:t xml:space="preserve"> </w:t>
      </w:r>
    </w:p>
  </w:footnote>
  <w:footnote w:id="8">
    <w:p w:rsidR="00EE1F51" w:rsidRDefault="00EE1F51">
      <w:pPr>
        <w:pStyle w:val="FootnoteText"/>
      </w:pPr>
      <w:r>
        <w:rPr>
          <w:rStyle w:val="FootnoteReference"/>
        </w:rPr>
        <w:footnoteRef/>
      </w:r>
      <w:r>
        <w:t xml:space="preserve"> </w:t>
      </w:r>
      <w:proofErr w:type="gramStart"/>
      <w:r w:rsidR="001E4508">
        <w:t>Consumer Futures Unit</w:t>
      </w:r>
      <w:r w:rsidR="00EE4077" w:rsidRPr="00731A61">
        <w:t>,</w:t>
      </w:r>
      <w:r w:rsidR="00EE4077">
        <w:rPr>
          <w:i/>
        </w:rPr>
        <w:t xml:space="preserve"> Different Rules for Different Fuels, </w:t>
      </w:r>
      <w:hyperlink r:id="rId8" w:history="1">
        <w:r w:rsidR="00EE4077">
          <w:rPr>
            <w:rStyle w:val="Hyperlink"/>
          </w:rPr>
          <w:t>link</w:t>
        </w:r>
      </w:hyperlink>
      <w:r w:rsidR="00EE4077">
        <w:t>, p.21.</w:t>
      </w:r>
      <w:proofErr w:type="gramEnd"/>
      <w:r w:rsidR="00EE4077">
        <w:t xml:space="preserve"> </w:t>
      </w:r>
    </w:p>
  </w:footnote>
  <w:footnote w:id="9">
    <w:p w:rsidR="005E01CF" w:rsidRPr="005E01CF" w:rsidRDefault="005E01CF">
      <w:pPr>
        <w:pStyle w:val="FootnoteText"/>
      </w:pPr>
      <w:r>
        <w:rPr>
          <w:rStyle w:val="FootnoteReference"/>
        </w:rPr>
        <w:footnoteRef/>
      </w:r>
      <w:r>
        <w:t xml:space="preserve"> Citizens Advice, </w:t>
      </w:r>
      <w:r>
        <w:rPr>
          <w:i/>
        </w:rPr>
        <w:t xml:space="preserve">District Heating Networks: Analysis of Information Request, </w:t>
      </w:r>
      <w:r>
        <w:t xml:space="preserve">January 2016, p.10. </w:t>
      </w:r>
    </w:p>
  </w:footnote>
  <w:footnote w:id="10">
    <w:p w:rsidR="0042417D" w:rsidRDefault="0042417D" w:rsidP="00215946">
      <w:pPr>
        <w:pStyle w:val="CommentText"/>
        <w:spacing w:after="0"/>
      </w:pPr>
      <w:r>
        <w:rPr>
          <w:rStyle w:val="FootnoteReference"/>
        </w:rPr>
        <w:footnoteRef/>
      </w:r>
      <w:r>
        <w:t xml:space="preserve"> </w:t>
      </w:r>
      <w:proofErr w:type="gramStart"/>
      <w:r>
        <w:t xml:space="preserve">Citizens Advice, </w:t>
      </w:r>
      <w:hyperlink r:id="rId9" w:history="1">
        <w:r w:rsidRPr="00215946">
          <w:rPr>
            <w:rStyle w:val="Hyperlink"/>
          </w:rPr>
          <w:t>link</w:t>
        </w:r>
      </w:hyperlink>
      <w:r>
        <w:rPr>
          <w:rStyle w:val="Hyperlink"/>
        </w:rPr>
        <w:t>.</w:t>
      </w:r>
      <w:proofErr w:type="gramEnd"/>
      <w:r>
        <w:rPr>
          <w:rStyle w:val="Hyperlink"/>
        </w:rPr>
        <w:t xml:space="preserve"> </w:t>
      </w:r>
    </w:p>
  </w:footnote>
  <w:footnote w:id="11">
    <w:p w:rsidR="00994EDD" w:rsidRPr="004008E0" w:rsidRDefault="00994EDD">
      <w:pPr>
        <w:pStyle w:val="FootnoteText"/>
      </w:pPr>
      <w:r>
        <w:rPr>
          <w:rStyle w:val="FootnoteReference"/>
        </w:rPr>
        <w:footnoteRef/>
      </w:r>
      <w:r>
        <w:t xml:space="preserve"> </w:t>
      </w:r>
      <w:proofErr w:type="gramStart"/>
      <w:r w:rsidR="001E4508">
        <w:t>Consumer Futures Unit</w:t>
      </w:r>
      <w:r w:rsidR="00EE4077" w:rsidRPr="006527BD">
        <w:t>,</w:t>
      </w:r>
      <w:r w:rsidR="00EE4077">
        <w:rPr>
          <w:i/>
        </w:rPr>
        <w:t xml:space="preserve"> Diff</w:t>
      </w:r>
      <w:r w:rsidR="002E5324">
        <w:rPr>
          <w:i/>
        </w:rPr>
        <w:t>erent Rules for Different Fuels,</w:t>
      </w:r>
      <w:r>
        <w:rPr>
          <w:i/>
        </w:rPr>
        <w:t xml:space="preserve"> </w:t>
      </w:r>
      <w:hyperlink r:id="rId10" w:history="1">
        <w:r w:rsidR="00EE1F51">
          <w:rPr>
            <w:rStyle w:val="Hyperlink"/>
          </w:rPr>
          <w:t>link</w:t>
        </w:r>
      </w:hyperlink>
      <w:r w:rsidR="00D044D9">
        <w:t xml:space="preserve">, </w:t>
      </w:r>
      <w:r>
        <w:t>p. 21.</w:t>
      </w:r>
      <w:proofErr w:type="gramEnd"/>
    </w:p>
  </w:footnote>
  <w:footnote w:id="12">
    <w:p w:rsidR="00994EDD" w:rsidRDefault="00994EDD">
      <w:pPr>
        <w:pStyle w:val="FootnoteText"/>
      </w:pPr>
      <w:r>
        <w:rPr>
          <w:rStyle w:val="FootnoteReference"/>
        </w:rPr>
        <w:footnoteRef/>
      </w:r>
      <w:r>
        <w:t xml:space="preserve"> </w:t>
      </w:r>
      <w:proofErr w:type="gramStart"/>
      <w:r>
        <w:t>Ibid.,</w:t>
      </w:r>
      <w:proofErr w:type="gramEnd"/>
      <w:r>
        <w:t xml:space="preserve"> </w:t>
      </w:r>
      <w:hyperlink r:id="rId11" w:history="1">
        <w:proofErr w:type="spellStart"/>
        <w:r w:rsidR="00EE4077">
          <w:rPr>
            <w:rStyle w:val="Hyperlink"/>
          </w:rPr>
          <w:t>link</w:t>
        </w:r>
      </w:hyperlink>
      <w:r>
        <w:t>p</w:t>
      </w:r>
      <w:proofErr w:type="spellEnd"/>
      <w:r>
        <w:t xml:space="preserve">. 18. </w:t>
      </w:r>
    </w:p>
  </w:footnote>
  <w:footnote w:id="13">
    <w:p w:rsidR="001755D8" w:rsidRDefault="001755D8" w:rsidP="001755D8">
      <w:pPr>
        <w:pStyle w:val="FootnoteText"/>
      </w:pPr>
      <w:r>
        <w:rPr>
          <w:rStyle w:val="FootnoteReference"/>
        </w:rPr>
        <w:footnoteRef/>
      </w:r>
      <w:r>
        <w:t xml:space="preserve"> </w:t>
      </w:r>
      <w:proofErr w:type="gramStart"/>
      <w:r>
        <w:t>Consumer Futures Unit,</w:t>
      </w:r>
      <w:r>
        <w:rPr>
          <w:i/>
        </w:rPr>
        <w:t xml:space="preserve"> Different Rules for Different Fuels, </w:t>
      </w:r>
      <w:hyperlink r:id="rId12" w:history="1">
        <w:r>
          <w:rPr>
            <w:rStyle w:val="Hyperlink"/>
          </w:rPr>
          <w:t>link</w:t>
        </w:r>
      </w:hyperlink>
      <w:r>
        <w:t>, p.21.</w:t>
      </w:r>
      <w:proofErr w:type="gramEnd"/>
    </w:p>
  </w:footnote>
  <w:footnote w:id="14">
    <w:p w:rsidR="00D044D9" w:rsidRDefault="00D044D9">
      <w:pPr>
        <w:pStyle w:val="FootnoteText"/>
      </w:pPr>
      <w:r>
        <w:rPr>
          <w:rStyle w:val="FootnoteReference"/>
        </w:rPr>
        <w:footnoteRef/>
      </w:r>
      <w:r w:rsidR="00EE4077">
        <w:t xml:space="preserve"> </w:t>
      </w:r>
      <w:r w:rsidR="006527BD" w:rsidRPr="006527BD">
        <w:t>BEIS</w:t>
      </w:r>
      <w:r w:rsidR="006527BD">
        <w:rPr>
          <w:i/>
        </w:rPr>
        <w:t>,</w:t>
      </w:r>
      <w:r w:rsidR="006527BD">
        <w:t xml:space="preserve"> </w:t>
      </w:r>
      <w:r w:rsidR="00EE4077" w:rsidRPr="006527BD">
        <w:rPr>
          <w:i/>
        </w:rPr>
        <w:t>Heat Network Consumer Survey: Executive Summary</w:t>
      </w:r>
      <w:r w:rsidR="00EE4077" w:rsidRPr="006527BD">
        <w:t xml:space="preserve">, </w:t>
      </w:r>
      <w:hyperlink r:id="rId13" w:history="1">
        <w:r w:rsidR="00EE4077">
          <w:rPr>
            <w:rStyle w:val="Hyperlink"/>
          </w:rPr>
          <w:t>link</w:t>
        </w:r>
      </w:hyperlink>
      <w:r w:rsidR="00EE4077">
        <w:t xml:space="preserve">. </w:t>
      </w:r>
      <w:r>
        <w:t xml:space="preserve"> </w:t>
      </w:r>
    </w:p>
  </w:footnote>
  <w:footnote w:id="15">
    <w:p w:rsidR="00D044D9" w:rsidRDefault="00D044D9">
      <w:pPr>
        <w:pStyle w:val="FootnoteText"/>
      </w:pPr>
      <w:r>
        <w:rPr>
          <w:rStyle w:val="FootnoteReference"/>
        </w:rPr>
        <w:footnoteRef/>
      </w:r>
      <w:r>
        <w:t xml:space="preserve"> </w:t>
      </w:r>
      <w:proofErr w:type="gramStart"/>
      <w:r w:rsidR="001E4508">
        <w:t>Consumer Futures Unit</w:t>
      </w:r>
      <w:r w:rsidR="00EE4077" w:rsidRPr="006527BD">
        <w:t>,</w:t>
      </w:r>
      <w:r w:rsidR="00EE4077">
        <w:rPr>
          <w:i/>
        </w:rPr>
        <w:t xml:space="preserve"> Different Rules for Different Fuels, </w:t>
      </w:r>
      <w:hyperlink r:id="rId14" w:history="1">
        <w:r w:rsidR="00EE4077">
          <w:rPr>
            <w:rStyle w:val="Hyperlink"/>
          </w:rPr>
          <w:t>link</w:t>
        </w:r>
      </w:hyperlink>
      <w:r>
        <w:t xml:space="preserve"> , p.18.</w:t>
      </w:r>
      <w:proofErr w:type="gramEnd"/>
    </w:p>
  </w:footnote>
  <w:footnote w:id="16">
    <w:p w:rsidR="00D044D9" w:rsidRDefault="00D044D9">
      <w:pPr>
        <w:pStyle w:val="FootnoteText"/>
      </w:pPr>
      <w:r>
        <w:rPr>
          <w:rStyle w:val="FootnoteReference"/>
        </w:rPr>
        <w:footnoteRef/>
      </w:r>
      <w:r>
        <w:t xml:space="preserve"> </w:t>
      </w:r>
      <w:r w:rsidR="006527BD">
        <w:t xml:space="preserve">Consumer Futures Unit, </w:t>
      </w:r>
      <w:r w:rsidR="00EE4077">
        <w:rPr>
          <w:i/>
        </w:rPr>
        <w:t>Diffe</w:t>
      </w:r>
      <w:r w:rsidR="006527BD">
        <w:rPr>
          <w:i/>
        </w:rPr>
        <w:t>rent Rules for Different Fuels:</w:t>
      </w:r>
      <w:r w:rsidR="00EE4077">
        <w:rPr>
          <w:i/>
        </w:rPr>
        <w:t xml:space="preserve"> Insight Report, </w:t>
      </w:r>
      <w:hyperlink r:id="rId15" w:history="1">
        <w:r w:rsidR="00EE4077">
          <w:rPr>
            <w:rStyle w:val="Hyperlink"/>
          </w:rPr>
          <w:t>link</w:t>
        </w:r>
      </w:hyperlink>
      <w:r>
        <w:t xml:space="preserve">, p. 16. </w:t>
      </w:r>
    </w:p>
  </w:footnote>
  <w:footnote w:id="17">
    <w:p w:rsidR="00D044D9" w:rsidRDefault="00D044D9">
      <w:pPr>
        <w:pStyle w:val="FootnoteText"/>
      </w:pPr>
      <w:r>
        <w:rPr>
          <w:rStyle w:val="FootnoteReference"/>
        </w:rPr>
        <w:footnoteRef/>
      </w:r>
      <w:r>
        <w:t xml:space="preserve"> </w:t>
      </w:r>
      <w:r w:rsidR="00EE4077" w:rsidRPr="006527BD">
        <w:t>Ibid</w:t>
      </w:r>
      <w:r w:rsidR="00EE4077">
        <w:rPr>
          <w:i/>
        </w:rPr>
        <w:t>,</w:t>
      </w:r>
      <w:r w:rsidR="00EE4077">
        <w:t xml:space="preserve"> </w:t>
      </w:r>
      <w:hyperlink r:id="rId16" w:history="1">
        <w:r w:rsidR="00EE4077">
          <w:rPr>
            <w:rStyle w:val="Hyperlink"/>
          </w:rPr>
          <w:t>link</w:t>
        </w:r>
      </w:hyperlink>
      <w:r w:rsidR="00EE4077">
        <w:t>.</w:t>
      </w:r>
      <w:r>
        <w:t xml:space="preserve"> </w:t>
      </w:r>
    </w:p>
  </w:footnote>
  <w:footnote w:id="18">
    <w:p w:rsidR="00D044D9" w:rsidRPr="00EE4077" w:rsidRDefault="00D044D9">
      <w:pPr>
        <w:pStyle w:val="FootnoteText"/>
      </w:pPr>
      <w:r>
        <w:rPr>
          <w:rStyle w:val="FootnoteReference"/>
        </w:rPr>
        <w:footnoteRef/>
      </w:r>
      <w:r>
        <w:t xml:space="preserve"> </w:t>
      </w:r>
      <w:proofErr w:type="spellStart"/>
      <w:r w:rsidR="00EE4077" w:rsidRPr="006527BD">
        <w:t>BioPAD</w:t>
      </w:r>
      <w:proofErr w:type="spellEnd"/>
      <w:r w:rsidR="00EE4077" w:rsidRPr="006527BD">
        <w:t>,</w:t>
      </w:r>
      <w:r w:rsidR="00EE4077" w:rsidRPr="00EE4077">
        <w:rPr>
          <w:i/>
        </w:rPr>
        <w:t xml:space="preserve"> Wick District Heating Scheme: Rising from the </w:t>
      </w:r>
      <w:r w:rsidR="006527BD">
        <w:rPr>
          <w:i/>
        </w:rPr>
        <w:t>A</w:t>
      </w:r>
      <w:r w:rsidR="00EE4077" w:rsidRPr="00EE4077">
        <w:rPr>
          <w:i/>
        </w:rPr>
        <w:t>shes,</w:t>
      </w:r>
      <w:r w:rsidR="00EE4077" w:rsidRPr="00EE4077">
        <w:t xml:space="preserve"> </w:t>
      </w:r>
      <w:hyperlink r:id="rId17" w:history="1">
        <w:r w:rsidR="00EE4077">
          <w:rPr>
            <w:rStyle w:val="Hyperlink"/>
          </w:rPr>
          <w:t>link</w:t>
        </w:r>
      </w:hyperlink>
      <w:r w:rsidR="00EE4077">
        <w:t xml:space="preserve">. </w:t>
      </w:r>
    </w:p>
  </w:footnote>
  <w:footnote w:id="19">
    <w:p w:rsidR="00D044D9" w:rsidRDefault="00D044D9">
      <w:pPr>
        <w:pStyle w:val="FootnoteText"/>
      </w:pPr>
      <w:r>
        <w:rPr>
          <w:rStyle w:val="FootnoteReference"/>
        </w:rPr>
        <w:footnoteRef/>
      </w:r>
      <w:r>
        <w:t xml:space="preserve"> </w:t>
      </w:r>
      <w:r w:rsidR="001B3E10">
        <w:t>Consumer Futures Unit</w:t>
      </w:r>
      <w:r w:rsidR="00EE4077" w:rsidRPr="006527BD">
        <w:t>,</w:t>
      </w:r>
      <w:r w:rsidR="00EE4077">
        <w:rPr>
          <w:i/>
        </w:rPr>
        <w:t xml:space="preserve"> Different Rules for Different Fuels: John Campbell QC, Legal Opinion, </w:t>
      </w:r>
      <w:r w:rsidR="00EE4077">
        <w:t xml:space="preserve">p. 7, </w:t>
      </w:r>
      <w:hyperlink r:id="rId18" w:history="1">
        <w:r w:rsidR="00EE4077">
          <w:rPr>
            <w:rStyle w:val="Hyperlink"/>
          </w:rPr>
          <w:t>link</w:t>
        </w:r>
      </w:hyperlink>
      <w:r w:rsidR="00EE4077">
        <w:t xml:space="preserve">. </w:t>
      </w:r>
    </w:p>
  </w:footnote>
  <w:footnote w:id="20">
    <w:p w:rsidR="00994EDD" w:rsidRPr="009523FD" w:rsidRDefault="00994EDD">
      <w:pPr>
        <w:pStyle w:val="FootnoteText"/>
      </w:pPr>
      <w:r>
        <w:rPr>
          <w:rStyle w:val="FootnoteReference"/>
        </w:rPr>
        <w:footnoteRef/>
      </w:r>
      <w:r>
        <w:t xml:space="preserve"> </w:t>
      </w:r>
      <w:proofErr w:type="spellStart"/>
      <w:r w:rsidR="00EE4077" w:rsidRPr="006527BD">
        <w:t>Changeworks</w:t>
      </w:r>
      <w:proofErr w:type="spellEnd"/>
      <w:r w:rsidR="00EE4077" w:rsidRPr="006527BD">
        <w:t xml:space="preserve"> et al.,</w:t>
      </w:r>
      <w:r w:rsidR="00EE4077">
        <w:rPr>
          <w:i/>
        </w:rPr>
        <w:t xml:space="preserve"> </w:t>
      </w:r>
      <w:r w:rsidRPr="00EE4077">
        <w:rPr>
          <w:i/>
        </w:rPr>
        <w:t>Identifying the Fair Share,</w:t>
      </w:r>
      <w:r w:rsidR="00D044D9">
        <w:t xml:space="preserve"> </w:t>
      </w:r>
      <w:hyperlink r:id="rId19" w:history="1">
        <w:r w:rsidR="00EE4077">
          <w:rPr>
            <w:rStyle w:val="Hyperlink"/>
          </w:rPr>
          <w:t>link</w:t>
        </w:r>
      </w:hyperlink>
      <w:r w:rsidR="00EE4077">
        <w:t>, p.67 cited in</w:t>
      </w:r>
      <w:r>
        <w:t xml:space="preserve"> </w:t>
      </w:r>
      <w:proofErr w:type="spellStart"/>
      <w:r w:rsidR="00EE4077">
        <w:rPr>
          <w:i/>
        </w:rPr>
        <w:t>Changeworks</w:t>
      </w:r>
      <w:proofErr w:type="spellEnd"/>
      <w:r w:rsidR="00EE4077">
        <w:rPr>
          <w:i/>
        </w:rPr>
        <w:t xml:space="preserve"> et al., Different Rules for Different Fuels</w:t>
      </w:r>
      <w:r>
        <w:rPr>
          <w:i/>
        </w:rPr>
        <w:t>,</w:t>
      </w:r>
      <w:r w:rsidR="00EE4077">
        <w:rPr>
          <w:i/>
        </w:rPr>
        <w:t xml:space="preserve"> </w:t>
      </w:r>
      <w:hyperlink r:id="rId20" w:history="1">
        <w:r w:rsidR="00EE4077">
          <w:rPr>
            <w:rStyle w:val="Hyperlink"/>
          </w:rPr>
          <w:t>link</w:t>
        </w:r>
      </w:hyperlink>
      <w:r w:rsidR="002E5324">
        <w:t xml:space="preserve">, </w:t>
      </w:r>
      <w:r>
        <w:t xml:space="preserve">p. 22. </w:t>
      </w:r>
    </w:p>
  </w:footnote>
  <w:footnote w:id="21">
    <w:p w:rsidR="00D044D9" w:rsidRDefault="00D044D9">
      <w:pPr>
        <w:pStyle w:val="FootnoteText"/>
      </w:pPr>
      <w:r>
        <w:rPr>
          <w:rStyle w:val="FootnoteReference"/>
        </w:rPr>
        <w:footnoteRef/>
      </w:r>
      <w:r>
        <w:t xml:space="preserve"> </w:t>
      </w:r>
      <w:r w:rsidR="006527BD">
        <w:t xml:space="preserve">Citizens Advice, </w:t>
      </w:r>
      <w:r w:rsidR="00EE4077">
        <w:rPr>
          <w:i/>
        </w:rPr>
        <w:t>District Heat Networks 2: Analysis of responses from private heat suppliers</w:t>
      </w:r>
      <w:r w:rsidR="00EE4077">
        <w:t xml:space="preserve">, </w:t>
      </w:r>
      <w:hyperlink r:id="rId21" w:history="1">
        <w:r w:rsidR="00EE4077">
          <w:rPr>
            <w:rStyle w:val="Hyperlink"/>
          </w:rPr>
          <w:t>link</w:t>
        </w:r>
      </w:hyperlink>
      <w:r w:rsidR="00EE4077">
        <w:t xml:space="preserve">, p.5. </w:t>
      </w:r>
      <w:r>
        <w:t xml:space="preserve"> </w:t>
      </w:r>
    </w:p>
  </w:footnote>
  <w:footnote w:id="22">
    <w:p w:rsidR="00752CEA" w:rsidRPr="00752CEA" w:rsidRDefault="00752CEA">
      <w:pPr>
        <w:pStyle w:val="FootnoteText"/>
      </w:pPr>
      <w:r>
        <w:rPr>
          <w:rStyle w:val="FootnoteReference"/>
        </w:rPr>
        <w:footnoteRef/>
      </w:r>
      <w:r>
        <w:t xml:space="preserve"> </w:t>
      </w:r>
      <w:r w:rsidRPr="008E5429">
        <w:t>Scottish Governmen</w:t>
      </w:r>
      <w:r>
        <w:t>t</w:t>
      </w:r>
      <w:proofErr w:type="gramStart"/>
      <w:r>
        <w:t xml:space="preserve">, </w:t>
      </w:r>
      <w:r>
        <w:rPr>
          <w:i/>
        </w:rPr>
        <w:t xml:space="preserve"> Energy</w:t>
      </w:r>
      <w:proofErr w:type="gramEnd"/>
      <w:r>
        <w:rPr>
          <w:i/>
        </w:rPr>
        <w:t xml:space="preserve"> Strategy, </w:t>
      </w:r>
      <w:hyperlink r:id="rId22" w:history="1">
        <w:r>
          <w:rPr>
            <w:rStyle w:val="Hyperlink"/>
          </w:rPr>
          <w:t>link</w:t>
        </w:r>
      </w:hyperlink>
      <w:r>
        <w:t xml:space="preserve">.  </w:t>
      </w:r>
    </w:p>
  </w:footnote>
  <w:footnote w:id="23">
    <w:p w:rsidR="00AB1CE0" w:rsidRDefault="00AB1CE0">
      <w:pPr>
        <w:pStyle w:val="FootnoteText"/>
      </w:pPr>
      <w:r>
        <w:rPr>
          <w:rStyle w:val="FootnoteReference"/>
        </w:rPr>
        <w:footnoteRef/>
      </w:r>
      <w:r w:rsidR="006527BD">
        <w:t xml:space="preserve"> BEIS, </w:t>
      </w:r>
      <w:r w:rsidRPr="006527BD">
        <w:rPr>
          <w:i/>
        </w:rPr>
        <w:t>Consumer Survey</w:t>
      </w:r>
      <w:r w:rsidR="00EE4077" w:rsidRPr="006527BD">
        <w:rPr>
          <w:i/>
        </w:rPr>
        <w:t xml:space="preserve">, </w:t>
      </w:r>
      <w:hyperlink r:id="rId23" w:history="1">
        <w:r w:rsidR="00EE4077">
          <w:rPr>
            <w:rStyle w:val="Hyperlink"/>
          </w:rPr>
          <w:t>link</w:t>
        </w:r>
      </w:hyperlink>
      <w:r w:rsidR="00EE4077">
        <w:t>.</w:t>
      </w:r>
      <w:r w:rsidR="00B517DD">
        <w:t xml:space="preserve"> </w:t>
      </w:r>
    </w:p>
  </w:footnote>
  <w:footnote w:id="24">
    <w:p w:rsidR="000151B4" w:rsidRDefault="000151B4" w:rsidP="000151B4">
      <w:pPr>
        <w:pStyle w:val="FootnoteText"/>
      </w:pPr>
      <w:r>
        <w:rPr>
          <w:rStyle w:val="FootnoteReference"/>
        </w:rPr>
        <w:footnoteRef/>
      </w:r>
      <w:r>
        <w:t xml:space="preserve"> Ofgem, </w:t>
      </w:r>
      <w:r>
        <w:rPr>
          <w:i/>
        </w:rPr>
        <w:t>Prices and Profits,</w:t>
      </w:r>
      <w:r>
        <w:t xml:space="preserve"> </w:t>
      </w:r>
      <w:hyperlink r:id="rId24" w:history="1">
        <w:r>
          <w:rPr>
            <w:rStyle w:val="Hyperlink"/>
          </w:rPr>
          <w:t>link</w:t>
        </w:r>
      </w:hyperlink>
      <w:r>
        <w:rPr>
          <w:rStyle w:val="Hyperlink"/>
        </w:rPr>
        <w:t xml:space="preserve">. </w:t>
      </w:r>
      <w:r>
        <w:t xml:space="preserve"> </w:t>
      </w:r>
    </w:p>
  </w:footnote>
  <w:footnote w:id="25">
    <w:p w:rsidR="00947C8B" w:rsidRDefault="00947C8B">
      <w:pPr>
        <w:pStyle w:val="FootnoteText"/>
      </w:pPr>
      <w:r>
        <w:rPr>
          <w:rStyle w:val="FootnoteReference"/>
        </w:rPr>
        <w:footnoteRef/>
      </w:r>
      <w:r>
        <w:t xml:space="preserve"> </w:t>
      </w:r>
      <w:proofErr w:type="spellStart"/>
      <w:r w:rsidR="00EE4077" w:rsidRPr="006527BD">
        <w:t>Changeworks</w:t>
      </w:r>
      <w:proofErr w:type="spellEnd"/>
      <w:r w:rsidR="00EE4077" w:rsidRPr="006527BD">
        <w:t xml:space="preserve"> et al,</w:t>
      </w:r>
      <w:r w:rsidR="00EE4077">
        <w:t xml:space="preserve"> </w:t>
      </w:r>
      <w:r w:rsidRPr="00B43157">
        <w:rPr>
          <w:i/>
        </w:rPr>
        <w:t>Identifying the Fair Share</w:t>
      </w:r>
      <w:r w:rsidR="00B517DD">
        <w:t xml:space="preserve">, </w:t>
      </w:r>
      <w:hyperlink r:id="rId25" w:history="1">
        <w:r w:rsidR="00EE4077">
          <w:rPr>
            <w:rStyle w:val="Hyperlink"/>
          </w:rPr>
          <w:t>link</w:t>
        </w:r>
      </w:hyperlink>
      <w:r w:rsidR="00B517DD">
        <w:t>,</w:t>
      </w:r>
      <w:r w:rsidR="00EE4077">
        <w:t xml:space="preserve"> </w:t>
      </w:r>
      <w:r w:rsidR="00B517DD">
        <w:t xml:space="preserve">p. 85. </w:t>
      </w:r>
    </w:p>
  </w:footnote>
  <w:footnote w:id="26">
    <w:p w:rsidR="006825FD" w:rsidRPr="006825FD" w:rsidRDefault="006825FD">
      <w:pPr>
        <w:pStyle w:val="FootnoteText"/>
      </w:pPr>
      <w:r>
        <w:rPr>
          <w:rStyle w:val="FootnoteReference"/>
        </w:rPr>
        <w:footnoteRef/>
      </w:r>
      <w:r w:rsidR="008B297B">
        <w:t xml:space="preserve"> </w:t>
      </w:r>
      <w:proofErr w:type="gramStart"/>
      <w:r w:rsidR="001B3E10">
        <w:t>Consumer Futures Unit</w:t>
      </w:r>
      <w:r w:rsidRPr="006527BD">
        <w:t>,</w:t>
      </w:r>
      <w:r w:rsidR="00EE4077" w:rsidRPr="006527BD">
        <w:t xml:space="preserve"> </w:t>
      </w:r>
      <w:r w:rsidR="00EE4077">
        <w:rPr>
          <w:i/>
        </w:rPr>
        <w:t>Different Rules for Different Fuels,</w:t>
      </w:r>
      <w:r>
        <w:rPr>
          <w:i/>
        </w:rPr>
        <w:t xml:space="preserve"> </w:t>
      </w:r>
      <w:hyperlink r:id="rId26" w:history="1">
        <w:r w:rsidR="00731A61">
          <w:rPr>
            <w:rStyle w:val="Hyperlink"/>
          </w:rPr>
          <w:t>link</w:t>
        </w:r>
      </w:hyperlink>
      <w:r w:rsidR="00731A61">
        <w:t xml:space="preserve">, </w:t>
      </w:r>
      <w:r w:rsidR="00EE4077">
        <w:t>p.10</w:t>
      </w:r>
      <w:r>
        <w:t>.</w:t>
      </w:r>
      <w:proofErr w:type="gramEnd"/>
      <w:r>
        <w:t xml:space="preserve"> </w:t>
      </w:r>
    </w:p>
  </w:footnote>
  <w:footnote w:id="27">
    <w:p w:rsidR="00E77DDE" w:rsidRDefault="00E77DDE">
      <w:pPr>
        <w:pStyle w:val="FootnoteText"/>
      </w:pPr>
      <w:r>
        <w:rPr>
          <w:rStyle w:val="FootnoteReference"/>
        </w:rPr>
        <w:footnoteRef/>
      </w:r>
      <w:r>
        <w:t xml:space="preserve"> R. Bush, D. </w:t>
      </w:r>
      <w:proofErr w:type="spellStart"/>
      <w:r>
        <w:t>Hawkey</w:t>
      </w:r>
      <w:proofErr w:type="spellEnd"/>
      <w:r>
        <w:t xml:space="preserve"> and J. Webb, </w:t>
      </w:r>
      <w:r>
        <w:rPr>
          <w:i/>
        </w:rPr>
        <w:t xml:space="preserve">Regulatory options for district heating in Scotland: Report to Scottish Government Working Group on District Heating, </w:t>
      </w:r>
      <w:hyperlink r:id="rId27" w:history="1">
        <w:r>
          <w:rPr>
            <w:rStyle w:val="Hyperlink"/>
          </w:rPr>
          <w:t>link</w:t>
        </w:r>
      </w:hyperlink>
      <w:r>
        <w:t xml:space="preserve">.  </w:t>
      </w:r>
    </w:p>
  </w:footnote>
  <w:footnote w:id="28">
    <w:p w:rsidR="00B517DD" w:rsidRDefault="00B517DD">
      <w:pPr>
        <w:pStyle w:val="FootnoteText"/>
      </w:pPr>
      <w:r>
        <w:rPr>
          <w:rStyle w:val="FootnoteReference"/>
        </w:rPr>
        <w:footnoteRef/>
      </w:r>
      <w:r>
        <w:t xml:space="preserve"> </w:t>
      </w:r>
      <w:proofErr w:type="gramStart"/>
      <w:r w:rsidR="006527BD">
        <w:t xml:space="preserve">CFU, </w:t>
      </w:r>
      <w:r w:rsidR="00731A61">
        <w:rPr>
          <w:i/>
        </w:rPr>
        <w:t>Diff</w:t>
      </w:r>
      <w:r w:rsidR="006527BD">
        <w:rPr>
          <w:i/>
        </w:rPr>
        <w:t>erent Rules for Different Fuels</w:t>
      </w:r>
      <w:r w:rsidR="00731A61">
        <w:rPr>
          <w:i/>
        </w:rPr>
        <w:t>,</w:t>
      </w:r>
      <w:r w:rsidR="006527BD">
        <w:t xml:space="preserve"> </w:t>
      </w:r>
      <w:hyperlink r:id="rId28" w:history="1">
        <w:r w:rsidR="00731A61">
          <w:rPr>
            <w:rStyle w:val="Hyperlink"/>
          </w:rPr>
          <w:t>li</w:t>
        </w:r>
        <w:bookmarkStart w:id="0" w:name="_GoBack"/>
        <w:bookmarkEnd w:id="0"/>
        <w:r w:rsidR="00731A61">
          <w:rPr>
            <w:rStyle w:val="Hyperlink"/>
          </w:rPr>
          <w:t>nk</w:t>
        </w:r>
      </w:hyperlink>
      <w:r w:rsidR="006527BD">
        <w:t>,</w:t>
      </w:r>
      <w:r w:rsidR="006527BD" w:rsidRPr="006527BD">
        <w:t xml:space="preserve"> </w:t>
      </w:r>
      <w:r w:rsidR="002E5324">
        <w:t>p.15</w:t>
      </w:r>
      <w:r w:rsidR="006527BD">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C0" w:rsidRDefault="009E1DC0" w:rsidP="009E1DC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C0" w:rsidRDefault="009E1DC0" w:rsidP="009E1DC0">
    <w:pPr>
      <w:pStyle w:val="Header"/>
      <w:jc w:val="right"/>
    </w:pPr>
    <w:r>
      <w:rPr>
        <w:noProof/>
        <w:lang w:eastAsia="en-GB"/>
      </w:rPr>
      <w:drawing>
        <wp:inline distT="0" distB="0" distL="0" distR="0" wp14:anchorId="634CC4AD" wp14:editId="132201A8">
          <wp:extent cx="2077517" cy="990448"/>
          <wp:effectExtent l="0" t="0" r="0" b="0"/>
          <wp:docPr id="4" name="Picture 4" descr="P:\00_Consumer Futures Unit\03_Comms &amp; Public Affairs\03_Templates\02_Logos and letterheads\2016 CFU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00_Consumer Futures Unit\03_Comms &amp; Public Affairs\03_Templates\02_Logos and letterheads\2016 CFU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517" cy="9904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94777"/>
    <w:multiLevelType w:val="hybridMultilevel"/>
    <w:tmpl w:val="C8A2A1FC"/>
    <w:lvl w:ilvl="0" w:tplc="D430CF9C">
      <w:start w:val="1"/>
      <w:numFmt w:val="bullet"/>
      <w:lvlText w:val="•"/>
      <w:lvlJc w:val="left"/>
      <w:pPr>
        <w:tabs>
          <w:tab w:val="num" w:pos="720"/>
        </w:tabs>
        <w:ind w:left="720" w:hanging="360"/>
      </w:pPr>
      <w:rPr>
        <w:rFonts w:ascii="Arial" w:hAnsi="Arial" w:hint="default"/>
      </w:rPr>
    </w:lvl>
    <w:lvl w:ilvl="1" w:tplc="518A83D8" w:tentative="1">
      <w:start w:val="1"/>
      <w:numFmt w:val="bullet"/>
      <w:lvlText w:val="•"/>
      <w:lvlJc w:val="left"/>
      <w:pPr>
        <w:tabs>
          <w:tab w:val="num" w:pos="1440"/>
        </w:tabs>
        <w:ind w:left="1440" w:hanging="360"/>
      </w:pPr>
      <w:rPr>
        <w:rFonts w:ascii="Arial" w:hAnsi="Arial" w:hint="default"/>
      </w:rPr>
    </w:lvl>
    <w:lvl w:ilvl="2" w:tplc="5BBA5710" w:tentative="1">
      <w:start w:val="1"/>
      <w:numFmt w:val="bullet"/>
      <w:lvlText w:val="•"/>
      <w:lvlJc w:val="left"/>
      <w:pPr>
        <w:tabs>
          <w:tab w:val="num" w:pos="2160"/>
        </w:tabs>
        <w:ind w:left="2160" w:hanging="360"/>
      </w:pPr>
      <w:rPr>
        <w:rFonts w:ascii="Arial" w:hAnsi="Arial" w:hint="default"/>
      </w:rPr>
    </w:lvl>
    <w:lvl w:ilvl="3" w:tplc="6C2AECEE" w:tentative="1">
      <w:start w:val="1"/>
      <w:numFmt w:val="bullet"/>
      <w:lvlText w:val="•"/>
      <w:lvlJc w:val="left"/>
      <w:pPr>
        <w:tabs>
          <w:tab w:val="num" w:pos="2880"/>
        </w:tabs>
        <w:ind w:left="2880" w:hanging="360"/>
      </w:pPr>
      <w:rPr>
        <w:rFonts w:ascii="Arial" w:hAnsi="Arial" w:hint="default"/>
      </w:rPr>
    </w:lvl>
    <w:lvl w:ilvl="4" w:tplc="F5707E9A" w:tentative="1">
      <w:start w:val="1"/>
      <w:numFmt w:val="bullet"/>
      <w:lvlText w:val="•"/>
      <w:lvlJc w:val="left"/>
      <w:pPr>
        <w:tabs>
          <w:tab w:val="num" w:pos="3600"/>
        </w:tabs>
        <w:ind w:left="3600" w:hanging="360"/>
      </w:pPr>
      <w:rPr>
        <w:rFonts w:ascii="Arial" w:hAnsi="Arial" w:hint="default"/>
      </w:rPr>
    </w:lvl>
    <w:lvl w:ilvl="5" w:tplc="3D229D44" w:tentative="1">
      <w:start w:val="1"/>
      <w:numFmt w:val="bullet"/>
      <w:lvlText w:val="•"/>
      <w:lvlJc w:val="left"/>
      <w:pPr>
        <w:tabs>
          <w:tab w:val="num" w:pos="4320"/>
        </w:tabs>
        <w:ind w:left="4320" w:hanging="360"/>
      </w:pPr>
      <w:rPr>
        <w:rFonts w:ascii="Arial" w:hAnsi="Arial" w:hint="default"/>
      </w:rPr>
    </w:lvl>
    <w:lvl w:ilvl="6" w:tplc="ACA81CA0" w:tentative="1">
      <w:start w:val="1"/>
      <w:numFmt w:val="bullet"/>
      <w:lvlText w:val="•"/>
      <w:lvlJc w:val="left"/>
      <w:pPr>
        <w:tabs>
          <w:tab w:val="num" w:pos="5040"/>
        </w:tabs>
        <w:ind w:left="5040" w:hanging="360"/>
      </w:pPr>
      <w:rPr>
        <w:rFonts w:ascii="Arial" w:hAnsi="Arial" w:hint="default"/>
      </w:rPr>
    </w:lvl>
    <w:lvl w:ilvl="7" w:tplc="A542475C" w:tentative="1">
      <w:start w:val="1"/>
      <w:numFmt w:val="bullet"/>
      <w:lvlText w:val="•"/>
      <w:lvlJc w:val="left"/>
      <w:pPr>
        <w:tabs>
          <w:tab w:val="num" w:pos="5760"/>
        </w:tabs>
        <w:ind w:left="5760" w:hanging="360"/>
      </w:pPr>
      <w:rPr>
        <w:rFonts w:ascii="Arial" w:hAnsi="Arial" w:hint="default"/>
      </w:rPr>
    </w:lvl>
    <w:lvl w:ilvl="8" w:tplc="0FC413D6" w:tentative="1">
      <w:start w:val="1"/>
      <w:numFmt w:val="bullet"/>
      <w:lvlText w:val="•"/>
      <w:lvlJc w:val="left"/>
      <w:pPr>
        <w:tabs>
          <w:tab w:val="num" w:pos="6480"/>
        </w:tabs>
        <w:ind w:left="6480" w:hanging="360"/>
      </w:pPr>
      <w:rPr>
        <w:rFonts w:ascii="Arial" w:hAnsi="Arial" w:hint="default"/>
      </w:rPr>
    </w:lvl>
  </w:abstractNum>
  <w:abstractNum w:abstractNumId="1">
    <w:nsid w:val="33824690"/>
    <w:multiLevelType w:val="hybridMultilevel"/>
    <w:tmpl w:val="868C2ABC"/>
    <w:lvl w:ilvl="0" w:tplc="C110256C">
      <w:start w:val="1"/>
      <w:numFmt w:val="bullet"/>
      <w:lvlText w:val="•"/>
      <w:lvlJc w:val="left"/>
      <w:pPr>
        <w:tabs>
          <w:tab w:val="num" w:pos="720"/>
        </w:tabs>
        <w:ind w:left="720" w:hanging="360"/>
      </w:pPr>
      <w:rPr>
        <w:rFonts w:ascii="Arial" w:hAnsi="Arial" w:hint="default"/>
      </w:rPr>
    </w:lvl>
    <w:lvl w:ilvl="1" w:tplc="FC500E88" w:tentative="1">
      <w:start w:val="1"/>
      <w:numFmt w:val="bullet"/>
      <w:lvlText w:val="•"/>
      <w:lvlJc w:val="left"/>
      <w:pPr>
        <w:tabs>
          <w:tab w:val="num" w:pos="1440"/>
        </w:tabs>
        <w:ind w:left="1440" w:hanging="360"/>
      </w:pPr>
      <w:rPr>
        <w:rFonts w:ascii="Arial" w:hAnsi="Arial" w:hint="default"/>
      </w:rPr>
    </w:lvl>
    <w:lvl w:ilvl="2" w:tplc="D4F20186" w:tentative="1">
      <w:start w:val="1"/>
      <w:numFmt w:val="bullet"/>
      <w:lvlText w:val="•"/>
      <w:lvlJc w:val="left"/>
      <w:pPr>
        <w:tabs>
          <w:tab w:val="num" w:pos="2160"/>
        </w:tabs>
        <w:ind w:left="2160" w:hanging="360"/>
      </w:pPr>
      <w:rPr>
        <w:rFonts w:ascii="Arial" w:hAnsi="Arial" w:hint="default"/>
      </w:rPr>
    </w:lvl>
    <w:lvl w:ilvl="3" w:tplc="C11AAAC6" w:tentative="1">
      <w:start w:val="1"/>
      <w:numFmt w:val="bullet"/>
      <w:lvlText w:val="•"/>
      <w:lvlJc w:val="left"/>
      <w:pPr>
        <w:tabs>
          <w:tab w:val="num" w:pos="2880"/>
        </w:tabs>
        <w:ind w:left="2880" w:hanging="360"/>
      </w:pPr>
      <w:rPr>
        <w:rFonts w:ascii="Arial" w:hAnsi="Arial" w:hint="default"/>
      </w:rPr>
    </w:lvl>
    <w:lvl w:ilvl="4" w:tplc="0B04F02E" w:tentative="1">
      <w:start w:val="1"/>
      <w:numFmt w:val="bullet"/>
      <w:lvlText w:val="•"/>
      <w:lvlJc w:val="left"/>
      <w:pPr>
        <w:tabs>
          <w:tab w:val="num" w:pos="3600"/>
        </w:tabs>
        <w:ind w:left="3600" w:hanging="360"/>
      </w:pPr>
      <w:rPr>
        <w:rFonts w:ascii="Arial" w:hAnsi="Arial" w:hint="default"/>
      </w:rPr>
    </w:lvl>
    <w:lvl w:ilvl="5" w:tplc="CA3E3420" w:tentative="1">
      <w:start w:val="1"/>
      <w:numFmt w:val="bullet"/>
      <w:lvlText w:val="•"/>
      <w:lvlJc w:val="left"/>
      <w:pPr>
        <w:tabs>
          <w:tab w:val="num" w:pos="4320"/>
        </w:tabs>
        <w:ind w:left="4320" w:hanging="360"/>
      </w:pPr>
      <w:rPr>
        <w:rFonts w:ascii="Arial" w:hAnsi="Arial" w:hint="default"/>
      </w:rPr>
    </w:lvl>
    <w:lvl w:ilvl="6" w:tplc="1B141DA6" w:tentative="1">
      <w:start w:val="1"/>
      <w:numFmt w:val="bullet"/>
      <w:lvlText w:val="•"/>
      <w:lvlJc w:val="left"/>
      <w:pPr>
        <w:tabs>
          <w:tab w:val="num" w:pos="5040"/>
        </w:tabs>
        <w:ind w:left="5040" w:hanging="360"/>
      </w:pPr>
      <w:rPr>
        <w:rFonts w:ascii="Arial" w:hAnsi="Arial" w:hint="default"/>
      </w:rPr>
    </w:lvl>
    <w:lvl w:ilvl="7" w:tplc="BA08435A" w:tentative="1">
      <w:start w:val="1"/>
      <w:numFmt w:val="bullet"/>
      <w:lvlText w:val="•"/>
      <w:lvlJc w:val="left"/>
      <w:pPr>
        <w:tabs>
          <w:tab w:val="num" w:pos="5760"/>
        </w:tabs>
        <w:ind w:left="5760" w:hanging="360"/>
      </w:pPr>
      <w:rPr>
        <w:rFonts w:ascii="Arial" w:hAnsi="Arial" w:hint="default"/>
      </w:rPr>
    </w:lvl>
    <w:lvl w:ilvl="8" w:tplc="3D124A9E" w:tentative="1">
      <w:start w:val="1"/>
      <w:numFmt w:val="bullet"/>
      <w:lvlText w:val="•"/>
      <w:lvlJc w:val="left"/>
      <w:pPr>
        <w:tabs>
          <w:tab w:val="num" w:pos="6480"/>
        </w:tabs>
        <w:ind w:left="6480" w:hanging="360"/>
      </w:pPr>
      <w:rPr>
        <w:rFonts w:ascii="Arial" w:hAnsi="Arial" w:hint="default"/>
      </w:rPr>
    </w:lvl>
  </w:abstractNum>
  <w:abstractNum w:abstractNumId="2">
    <w:nsid w:val="357638FB"/>
    <w:multiLevelType w:val="hybridMultilevel"/>
    <w:tmpl w:val="45424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99C655C"/>
    <w:multiLevelType w:val="hybridMultilevel"/>
    <w:tmpl w:val="9572CA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C066808"/>
    <w:multiLevelType w:val="hybridMultilevel"/>
    <w:tmpl w:val="D3D2B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094BC0"/>
    <w:multiLevelType w:val="hybridMultilevel"/>
    <w:tmpl w:val="9D8C9848"/>
    <w:lvl w:ilvl="0" w:tplc="99DC343C">
      <w:start w:val="1"/>
      <w:numFmt w:val="bullet"/>
      <w:lvlText w:val="•"/>
      <w:lvlJc w:val="left"/>
      <w:pPr>
        <w:tabs>
          <w:tab w:val="num" w:pos="720"/>
        </w:tabs>
        <w:ind w:left="720" w:hanging="360"/>
      </w:pPr>
      <w:rPr>
        <w:rFonts w:ascii="Arial" w:hAnsi="Arial" w:hint="default"/>
      </w:rPr>
    </w:lvl>
    <w:lvl w:ilvl="1" w:tplc="57B2A662" w:tentative="1">
      <w:start w:val="1"/>
      <w:numFmt w:val="bullet"/>
      <w:lvlText w:val="•"/>
      <w:lvlJc w:val="left"/>
      <w:pPr>
        <w:tabs>
          <w:tab w:val="num" w:pos="1440"/>
        </w:tabs>
        <w:ind w:left="1440" w:hanging="360"/>
      </w:pPr>
      <w:rPr>
        <w:rFonts w:ascii="Arial" w:hAnsi="Arial" w:hint="default"/>
      </w:rPr>
    </w:lvl>
    <w:lvl w:ilvl="2" w:tplc="AE2AFD0A" w:tentative="1">
      <w:start w:val="1"/>
      <w:numFmt w:val="bullet"/>
      <w:lvlText w:val="•"/>
      <w:lvlJc w:val="left"/>
      <w:pPr>
        <w:tabs>
          <w:tab w:val="num" w:pos="2160"/>
        </w:tabs>
        <w:ind w:left="2160" w:hanging="360"/>
      </w:pPr>
      <w:rPr>
        <w:rFonts w:ascii="Arial" w:hAnsi="Arial" w:hint="default"/>
      </w:rPr>
    </w:lvl>
    <w:lvl w:ilvl="3" w:tplc="FA4E3712" w:tentative="1">
      <w:start w:val="1"/>
      <w:numFmt w:val="bullet"/>
      <w:lvlText w:val="•"/>
      <w:lvlJc w:val="left"/>
      <w:pPr>
        <w:tabs>
          <w:tab w:val="num" w:pos="2880"/>
        </w:tabs>
        <w:ind w:left="2880" w:hanging="360"/>
      </w:pPr>
      <w:rPr>
        <w:rFonts w:ascii="Arial" w:hAnsi="Arial" w:hint="default"/>
      </w:rPr>
    </w:lvl>
    <w:lvl w:ilvl="4" w:tplc="F6AA8302" w:tentative="1">
      <w:start w:val="1"/>
      <w:numFmt w:val="bullet"/>
      <w:lvlText w:val="•"/>
      <w:lvlJc w:val="left"/>
      <w:pPr>
        <w:tabs>
          <w:tab w:val="num" w:pos="3600"/>
        </w:tabs>
        <w:ind w:left="3600" w:hanging="360"/>
      </w:pPr>
      <w:rPr>
        <w:rFonts w:ascii="Arial" w:hAnsi="Arial" w:hint="default"/>
      </w:rPr>
    </w:lvl>
    <w:lvl w:ilvl="5" w:tplc="4DE85496" w:tentative="1">
      <w:start w:val="1"/>
      <w:numFmt w:val="bullet"/>
      <w:lvlText w:val="•"/>
      <w:lvlJc w:val="left"/>
      <w:pPr>
        <w:tabs>
          <w:tab w:val="num" w:pos="4320"/>
        </w:tabs>
        <w:ind w:left="4320" w:hanging="360"/>
      </w:pPr>
      <w:rPr>
        <w:rFonts w:ascii="Arial" w:hAnsi="Arial" w:hint="default"/>
      </w:rPr>
    </w:lvl>
    <w:lvl w:ilvl="6" w:tplc="7CD0A976" w:tentative="1">
      <w:start w:val="1"/>
      <w:numFmt w:val="bullet"/>
      <w:lvlText w:val="•"/>
      <w:lvlJc w:val="left"/>
      <w:pPr>
        <w:tabs>
          <w:tab w:val="num" w:pos="5040"/>
        </w:tabs>
        <w:ind w:left="5040" w:hanging="360"/>
      </w:pPr>
      <w:rPr>
        <w:rFonts w:ascii="Arial" w:hAnsi="Arial" w:hint="default"/>
      </w:rPr>
    </w:lvl>
    <w:lvl w:ilvl="7" w:tplc="9050B40C" w:tentative="1">
      <w:start w:val="1"/>
      <w:numFmt w:val="bullet"/>
      <w:lvlText w:val="•"/>
      <w:lvlJc w:val="left"/>
      <w:pPr>
        <w:tabs>
          <w:tab w:val="num" w:pos="5760"/>
        </w:tabs>
        <w:ind w:left="5760" w:hanging="360"/>
      </w:pPr>
      <w:rPr>
        <w:rFonts w:ascii="Arial" w:hAnsi="Arial" w:hint="default"/>
      </w:rPr>
    </w:lvl>
    <w:lvl w:ilvl="8" w:tplc="BEC890AE" w:tentative="1">
      <w:start w:val="1"/>
      <w:numFmt w:val="bullet"/>
      <w:lvlText w:val="•"/>
      <w:lvlJc w:val="left"/>
      <w:pPr>
        <w:tabs>
          <w:tab w:val="num" w:pos="6480"/>
        </w:tabs>
        <w:ind w:left="6480" w:hanging="360"/>
      </w:pPr>
      <w:rPr>
        <w:rFonts w:ascii="Arial" w:hAnsi="Arial" w:hint="default"/>
      </w:rPr>
    </w:lvl>
  </w:abstractNum>
  <w:abstractNum w:abstractNumId="6">
    <w:nsid w:val="4C5E004A"/>
    <w:multiLevelType w:val="hybridMultilevel"/>
    <w:tmpl w:val="96D4DCBE"/>
    <w:lvl w:ilvl="0" w:tplc="E454EDB6">
      <w:start w:val="1"/>
      <w:numFmt w:val="bullet"/>
      <w:lvlText w:val="•"/>
      <w:lvlJc w:val="left"/>
      <w:pPr>
        <w:tabs>
          <w:tab w:val="num" w:pos="720"/>
        </w:tabs>
        <w:ind w:left="720" w:hanging="360"/>
      </w:pPr>
      <w:rPr>
        <w:rFonts w:ascii="Arial" w:hAnsi="Arial" w:hint="default"/>
      </w:rPr>
    </w:lvl>
    <w:lvl w:ilvl="1" w:tplc="F926E2A4" w:tentative="1">
      <w:start w:val="1"/>
      <w:numFmt w:val="bullet"/>
      <w:lvlText w:val="•"/>
      <w:lvlJc w:val="left"/>
      <w:pPr>
        <w:tabs>
          <w:tab w:val="num" w:pos="1440"/>
        </w:tabs>
        <w:ind w:left="1440" w:hanging="360"/>
      </w:pPr>
      <w:rPr>
        <w:rFonts w:ascii="Arial" w:hAnsi="Arial" w:hint="default"/>
      </w:rPr>
    </w:lvl>
    <w:lvl w:ilvl="2" w:tplc="4EF80B7C" w:tentative="1">
      <w:start w:val="1"/>
      <w:numFmt w:val="bullet"/>
      <w:lvlText w:val="•"/>
      <w:lvlJc w:val="left"/>
      <w:pPr>
        <w:tabs>
          <w:tab w:val="num" w:pos="2160"/>
        </w:tabs>
        <w:ind w:left="2160" w:hanging="360"/>
      </w:pPr>
      <w:rPr>
        <w:rFonts w:ascii="Arial" w:hAnsi="Arial" w:hint="default"/>
      </w:rPr>
    </w:lvl>
    <w:lvl w:ilvl="3" w:tplc="F83CB628" w:tentative="1">
      <w:start w:val="1"/>
      <w:numFmt w:val="bullet"/>
      <w:lvlText w:val="•"/>
      <w:lvlJc w:val="left"/>
      <w:pPr>
        <w:tabs>
          <w:tab w:val="num" w:pos="2880"/>
        </w:tabs>
        <w:ind w:left="2880" w:hanging="360"/>
      </w:pPr>
      <w:rPr>
        <w:rFonts w:ascii="Arial" w:hAnsi="Arial" w:hint="default"/>
      </w:rPr>
    </w:lvl>
    <w:lvl w:ilvl="4" w:tplc="D520E27A" w:tentative="1">
      <w:start w:val="1"/>
      <w:numFmt w:val="bullet"/>
      <w:lvlText w:val="•"/>
      <w:lvlJc w:val="left"/>
      <w:pPr>
        <w:tabs>
          <w:tab w:val="num" w:pos="3600"/>
        </w:tabs>
        <w:ind w:left="3600" w:hanging="360"/>
      </w:pPr>
      <w:rPr>
        <w:rFonts w:ascii="Arial" w:hAnsi="Arial" w:hint="default"/>
      </w:rPr>
    </w:lvl>
    <w:lvl w:ilvl="5" w:tplc="F3A6CD6C" w:tentative="1">
      <w:start w:val="1"/>
      <w:numFmt w:val="bullet"/>
      <w:lvlText w:val="•"/>
      <w:lvlJc w:val="left"/>
      <w:pPr>
        <w:tabs>
          <w:tab w:val="num" w:pos="4320"/>
        </w:tabs>
        <w:ind w:left="4320" w:hanging="360"/>
      </w:pPr>
      <w:rPr>
        <w:rFonts w:ascii="Arial" w:hAnsi="Arial" w:hint="default"/>
      </w:rPr>
    </w:lvl>
    <w:lvl w:ilvl="6" w:tplc="3640837C" w:tentative="1">
      <w:start w:val="1"/>
      <w:numFmt w:val="bullet"/>
      <w:lvlText w:val="•"/>
      <w:lvlJc w:val="left"/>
      <w:pPr>
        <w:tabs>
          <w:tab w:val="num" w:pos="5040"/>
        </w:tabs>
        <w:ind w:left="5040" w:hanging="360"/>
      </w:pPr>
      <w:rPr>
        <w:rFonts w:ascii="Arial" w:hAnsi="Arial" w:hint="default"/>
      </w:rPr>
    </w:lvl>
    <w:lvl w:ilvl="7" w:tplc="AA9CCC78" w:tentative="1">
      <w:start w:val="1"/>
      <w:numFmt w:val="bullet"/>
      <w:lvlText w:val="•"/>
      <w:lvlJc w:val="left"/>
      <w:pPr>
        <w:tabs>
          <w:tab w:val="num" w:pos="5760"/>
        </w:tabs>
        <w:ind w:left="5760" w:hanging="360"/>
      </w:pPr>
      <w:rPr>
        <w:rFonts w:ascii="Arial" w:hAnsi="Arial" w:hint="default"/>
      </w:rPr>
    </w:lvl>
    <w:lvl w:ilvl="8" w:tplc="CC8CB606" w:tentative="1">
      <w:start w:val="1"/>
      <w:numFmt w:val="bullet"/>
      <w:lvlText w:val="•"/>
      <w:lvlJc w:val="left"/>
      <w:pPr>
        <w:tabs>
          <w:tab w:val="num" w:pos="6480"/>
        </w:tabs>
        <w:ind w:left="6480" w:hanging="360"/>
      </w:pPr>
      <w:rPr>
        <w:rFonts w:ascii="Arial" w:hAnsi="Arial" w:hint="default"/>
      </w:rPr>
    </w:lvl>
  </w:abstractNum>
  <w:abstractNum w:abstractNumId="7">
    <w:nsid w:val="53C21205"/>
    <w:multiLevelType w:val="hybridMultilevel"/>
    <w:tmpl w:val="18F6DBC0"/>
    <w:lvl w:ilvl="0" w:tplc="01FED9B8">
      <w:start w:val="1"/>
      <w:numFmt w:val="bullet"/>
      <w:lvlText w:val="•"/>
      <w:lvlJc w:val="left"/>
      <w:pPr>
        <w:tabs>
          <w:tab w:val="num" w:pos="720"/>
        </w:tabs>
        <w:ind w:left="720" w:hanging="360"/>
      </w:pPr>
      <w:rPr>
        <w:rFonts w:ascii="Arial" w:hAnsi="Arial" w:hint="default"/>
      </w:rPr>
    </w:lvl>
    <w:lvl w:ilvl="1" w:tplc="047EC7E8" w:tentative="1">
      <w:start w:val="1"/>
      <w:numFmt w:val="bullet"/>
      <w:lvlText w:val="•"/>
      <w:lvlJc w:val="left"/>
      <w:pPr>
        <w:tabs>
          <w:tab w:val="num" w:pos="1440"/>
        </w:tabs>
        <w:ind w:left="1440" w:hanging="360"/>
      </w:pPr>
      <w:rPr>
        <w:rFonts w:ascii="Arial" w:hAnsi="Arial" w:hint="default"/>
      </w:rPr>
    </w:lvl>
    <w:lvl w:ilvl="2" w:tplc="9378FD0C" w:tentative="1">
      <w:start w:val="1"/>
      <w:numFmt w:val="bullet"/>
      <w:lvlText w:val="•"/>
      <w:lvlJc w:val="left"/>
      <w:pPr>
        <w:tabs>
          <w:tab w:val="num" w:pos="2160"/>
        </w:tabs>
        <w:ind w:left="2160" w:hanging="360"/>
      </w:pPr>
      <w:rPr>
        <w:rFonts w:ascii="Arial" w:hAnsi="Arial" w:hint="default"/>
      </w:rPr>
    </w:lvl>
    <w:lvl w:ilvl="3" w:tplc="717C0358" w:tentative="1">
      <w:start w:val="1"/>
      <w:numFmt w:val="bullet"/>
      <w:lvlText w:val="•"/>
      <w:lvlJc w:val="left"/>
      <w:pPr>
        <w:tabs>
          <w:tab w:val="num" w:pos="2880"/>
        </w:tabs>
        <w:ind w:left="2880" w:hanging="360"/>
      </w:pPr>
      <w:rPr>
        <w:rFonts w:ascii="Arial" w:hAnsi="Arial" w:hint="default"/>
      </w:rPr>
    </w:lvl>
    <w:lvl w:ilvl="4" w:tplc="B222632A" w:tentative="1">
      <w:start w:val="1"/>
      <w:numFmt w:val="bullet"/>
      <w:lvlText w:val="•"/>
      <w:lvlJc w:val="left"/>
      <w:pPr>
        <w:tabs>
          <w:tab w:val="num" w:pos="3600"/>
        </w:tabs>
        <w:ind w:left="3600" w:hanging="360"/>
      </w:pPr>
      <w:rPr>
        <w:rFonts w:ascii="Arial" w:hAnsi="Arial" w:hint="default"/>
      </w:rPr>
    </w:lvl>
    <w:lvl w:ilvl="5" w:tplc="BBA4310E" w:tentative="1">
      <w:start w:val="1"/>
      <w:numFmt w:val="bullet"/>
      <w:lvlText w:val="•"/>
      <w:lvlJc w:val="left"/>
      <w:pPr>
        <w:tabs>
          <w:tab w:val="num" w:pos="4320"/>
        </w:tabs>
        <w:ind w:left="4320" w:hanging="360"/>
      </w:pPr>
      <w:rPr>
        <w:rFonts w:ascii="Arial" w:hAnsi="Arial" w:hint="default"/>
      </w:rPr>
    </w:lvl>
    <w:lvl w:ilvl="6" w:tplc="4CC47EB8" w:tentative="1">
      <w:start w:val="1"/>
      <w:numFmt w:val="bullet"/>
      <w:lvlText w:val="•"/>
      <w:lvlJc w:val="left"/>
      <w:pPr>
        <w:tabs>
          <w:tab w:val="num" w:pos="5040"/>
        </w:tabs>
        <w:ind w:left="5040" w:hanging="360"/>
      </w:pPr>
      <w:rPr>
        <w:rFonts w:ascii="Arial" w:hAnsi="Arial" w:hint="default"/>
      </w:rPr>
    </w:lvl>
    <w:lvl w:ilvl="7" w:tplc="F8FEE1E8" w:tentative="1">
      <w:start w:val="1"/>
      <w:numFmt w:val="bullet"/>
      <w:lvlText w:val="•"/>
      <w:lvlJc w:val="left"/>
      <w:pPr>
        <w:tabs>
          <w:tab w:val="num" w:pos="5760"/>
        </w:tabs>
        <w:ind w:left="5760" w:hanging="360"/>
      </w:pPr>
      <w:rPr>
        <w:rFonts w:ascii="Arial" w:hAnsi="Arial" w:hint="default"/>
      </w:rPr>
    </w:lvl>
    <w:lvl w:ilvl="8" w:tplc="29F60FC6" w:tentative="1">
      <w:start w:val="1"/>
      <w:numFmt w:val="bullet"/>
      <w:lvlText w:val="•"/>
      <w:lvlJc w:val="left"/>
      <w:pPr>
        <w:tabs>
          <w:tab w:val="num" w:pos="6480"/>
        </w:tabs>
        <w:ind w:left="6480" w:hanging="360"/>
      </w:pPr>
      <w:rPr>
        <w:rFonts w:ascii="Arial" w:hAnsi="Arial" w:hint="default"/>
      </w:rPr>
    </w:lvl>
  </w:abstractNum>
  <w:abstractNum w:abstractNumId="8">
    <w:nsid w:val="74F53EF6"/>
    <w:multiLevelType w:val="hybridMultilevel"/>
    <w:tmpl w:val="6CE89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8645971"/>
    <w:multiLevelType w:val="hybridMultilevel"/>
    <w:tmpl w:val="33CE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2"/>
  </w:num>
  <w:num w:numId="5">
    <w:abstractNumId w:val="6"/>
  </w:num>
  <w:num w:numId="6">
    <w:abstractNumId w:val="0"/>
  </w:num>
  <w:num w:numId="7">
    <w:abstractNumId w:val="5"/>
  </w:num>
  <w:num w:numId="8">
    <w:abstractNumId w:val="2"/>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DF3"/>
    <w:rsid w:val="00003290"/>
    <w:rsid w:val="00007073"/>
    <w:rsid w:val="000151B4"/>
    <w:rsid w:val="000315B5"/>
    <w:rsid w:val="00085CC4"/>
    <w:rsid w:val="00086E4F"/>
    <w:rsid w:val="00087DA8"/>
    <w:rsid w:val="000969E4"/>
    <w:rsid w:val="000B0668"/>
    <w:rsid w:val="000E0BEF"/>
    <w:rsid w:val="000E34C1"/>
    <w:rsid w:val="000E61C2"/>
    <w:rsid w:val="00102C19"/>
    <w:rsid w:val="0012043B"/>
    <w:rsid w:val="0012073C"/>
    <w:rsid w:val="001211F4"/>
    <w:rsid w:val="00125864"/>
    <w:rsid w:val="0013521A"/>
    <w:rsid w:val="00145D4E"/>
    <w:rsid w:val="001568B3"/>
    <w:rsid w:val="00163160"/>
    <w:rsid w:val="001717F2"/>
    <w:rsid w:val="001755D8"/>
    <w:rsid w:val="001B3E10"/>
    <w:rsid w:val="001B4525"/>
    <w:rsid w:val="001B5689"/>
    <w:rsid w:val="001D0A68"/>
    <w:rsid w:val="001E2486"/>
    <w:rsid w:val="001E4508"/>
    <w:rsid w:val="001F1F04"/>
    <w:rsid w:val="00202FE0"/>
    <w:rsid w:val="00215946"/>
    <w:rsid w:val="00217BAA"/>
    <w:rsid w:val="002222C9"/>
    <w:rsid w:val="00237456"/>
    <w:rsid w:val="0024681B"/>
    <w:rsid w:val="002561B6"/>
    <w:rsid w:val="00261335"/>
    <w:rsid w:val="002719DE"/>
    <w:rsid w:val="00293031"/>
    <w:rsid w:val="002A5ABB"/>
    <w:rsid w:val="002C7179"/>
    <w:rsid w:val="002E5324"/>
    <w:rsid w:val="002F3D72"/>
    <w:rsid w:val="00361B89"/>
    <w:rsid w:val="00366AA3"/>
    <w:rsid w:val="0038151B"/>
    <w:rsid w:val="003816B2"/>
    <w:rsid w:val="003A04A1"/>
    <w:rsid w:val="003C14C7"/>
    <w:rsid w:val="003D70FE"/>
    <w:rsid w:val="003E5F68"/>
    <w:rsid w:val="003F4C73"/>
    <w:rsid w:val="004008E0"/>
    <w:rsid w:val="00402435"/>
    <w:rsid w:val="0042417D"/>
    <w:rsid w:val="004260FA"/>
    <w:rsid w:val="00443420"/>
    <w:rsid w:val="00446DE7"/>
    <w:rsid w:val="0045312F"/>
    <w:rsid w:val="00454FFA"/>
    <w:rsid w:val="00460B82"/>
    <w:rsid w:val="004644C7"/>
    <w:rsid w:val="004840DA"/>
    <w:rsid w:val="0049311D"/>
    <w:rsid w:val="00493E0B"/>
    <w:rsid w:val="004A130C"/>
    <w:rsid w:val="004E0A95"/>
    <w:rsid w:val="004F38EC"/>
    <w:rsid w:val="00505535"/>
    <w:rsid w:val="00527C3C"/>
    <w:rsid w:val="005423DB"/>
    <w:rsid w:val="00580F86"/>
    <w:rsid w:val="005A7079"/>
    <w:rsid w:val="005B5077"/>
    <w:rsid w:val="005C437F"/>
    <w:rsid w:val="005D2358"/>
    <w:rsid w:val="005D2994"/>
    <w:rsid w:val="005E01CF"/>
    <w:rsid w:val="006145F8"/>
    <w:rsid w:val="0062087C"/>
    <w:rsid w:val="00637E6B"/>
    <w:rsid w:val="0064520E"/>
    <w:rsid w:val="006527BD"/>
    <w:rsid w:val="00655B9D"/>
    <w:rsid w:val="006749EF"/>
    <w:rsid w:val="006825FD"/>
    <w:rsid w:val="00685552"/>
    <w:rsid w:val="00686696"/>
    <w:rsid w:val="0068765D"/>
    <w:rsid w:val="006E6F7D"/>
    <w:rsid w:val="006F5FF8"/>
    <w:rsid w:val="006F71F1"/>
    <w:rsid w:val="00703D50"/>
    <w:rsid w:val="00714FB7"/>
    <w:rsid w:val="00725CE1"/>
    <w:rsid w:val="00731A61"/>
    <w:rsid w:val="007421D5"/>
    <w:rsid w:val="00744AAE"/>
    <w:rsid w:val="00752CEA"/>
    <w:rsid w:val="00756B49"/>
    <w:rsid w:val="00756B6A"/>
    <w:rsid w:val="00760644"/>
    <w:rsid w:val="00770D23"/>
    <w:rsid w:val="00786E8B"/>
    <w:rsid w:val="007B5984"/>
    <w:rsid w:val="007C5DB3"/>
    <w:rsid w:val="007D7D6E"/>
    <w:rsid w:val="007E62AD"/>
    <w:rsid w:val="00801FF5"/>
    <w:rsid w:val="00824334"/>
    <w:rsid w:val="0082450D"/>
    <w:rsid w:val="00831357"/>
    <w:rsid w:val="00845B9D"/>
    <w:rsid w:val="00883037"/>
    <w:rsid w:val="00892EAF"/>
    <w:rsid w:val="008A5B6F"/>
    <w:rsid w:val="008A65AA"/>
    <w:rsid w:val="008B297B"/>
    <w:rsid w:val="008B42D3"/>
    <w:rsid w:val="008C116B"/>
    <w:rsid w:val="008C7376"/>
    <w:rsid w:val="008E3214"/>
    <w:rsid w:val="008E5429"/>
    <w:rsid w:val="008F16F5"/>
    <w:rsid w:val="00901BA1"/>
    <w:rsid w:val="009032BC"/>
    <w:rsid w:val="00921DD7"/>
    <w:rsid w:val="00924740"/>
    <w:rsid w:val="009262EB"/>
    <w:rsid w:val="009356CE"/>
    <w:rsid w:val="009414EF"/>
    <w:rsid w:val="0094384C"/>
    <w:rsid w:val="00944B78"/>
    <w:rsid w:val="00947C8B"/>
    <w:rsid w:val="009523FD"/>
    <w:rsid w:val="009849D2"/>
    <w:rsid w:val="00994EDD"/>
    <w:rsid w:val="009A671A"/>
    <w:rsid w:val="009C1CB5"/>
    <w:rsid w:val="009E1DC0"/>
    <w:rsid w:val="00A004E6"/>
    <w:rsid w:val="00A075DE"/>
    <w:rsid w:val="00A27361"/>
    <w:rsid w:val="00A34795"/>
    <w:rsid w:val="00A53DBC"/>
    <w:rsid w:val="00A5727B"/>
    <w:rsid w:val="00A72E0A"/>
    <w:rsid w:val="00A82C7C"/>
    <w:rsid w:val="00AA4D3B"/>
    <w:rsid w:val="00AA5BD8"/>
    <w:rsid w:val="00AB1CE0"/>
    <w:rsid w:val="00AB58E3"/>
    <w:rsid w:val="00AB61AA"/>
    <w:rsid w:val="00AB760F"/>
    <w:rsid w:val="00AC6304"/>
    <w:rsid w:val="00B15CDC"/>
    <w:rsid w:val="00B24A06"/>
    <w:rsid w:val="00B34387"/>
    <w:rsid w:val="00B43157"/>
    <w:rsid w:val="00B517DD"/>
    <w:rsid w:val="00B53F7D"/>
    <w:rsid w:val="00BA1CC8"/>
    <w:rsid w:val="00BB64B9"/>
    <w:rsid w:val="00BD3A21"/>
    <w:rsid w:val="00BE2983"/>
    <w:rsid w:val="00C07ADB"/>
    <w:rsid w:val="00C327B9"/>
    <w:rsid w:val="00C566E1"/>
    <w:rsid w:val="00C71B14"/>
    <w:rsid w:val="00C762C2"/>
    <w:rsid w:val="00C7686A"/>
    <w:rsid w:val="00CA1E2D"/>
    <w:rsid w:val="00CA311D"/>
    <w:rsid w:val="00CB4C86"/>
    <w:rsid w:val="00D044D9"/>
    <w:rsid w:val="00D07806"/>
    <w:rsid w:val="00D07C35"/>
    <w:rsid w:val="00D27E71"/>
    <w:rsid w:val="00D36ECB"/>
    <w:rsid w:val="00D4023F"/>
    <w:rsid w:val="00D46368"/>
    <w:rsid w:val="00DA4DC6"/>
    <w:rsid w:val="00DD707D"/>
    <w:rsid w:val="00DE2622"/>
    <w:rsid w:val="00E00967"/>
    <w:rsid w:val="00E0402B"/>
    <w:rsid w:val="00E103A5"/>
    <w:rsid w:val="00E12872"/>
    <w:rsid w:val="00E13B91"/>
    <w:rsid w:val="00E324D7"/>
    <w:rsid w:val="00E37B52"/>
    <w:rsid w:val="00E41DB3"/>
    <w:rsid w:val="00E50923"/>
    <w:rsid w:val="00E52357"/>
    <w:rsid w:val="00E5523C"/>
    <w:rsid w:val="00E7320A"/>
    <w:rsid w:val="00E77DDE"/>
    <w:rsid w:val="00E878B2"/>
    <w:rsid w:val="00EB5B6B"/>
    <w:rsid w:val="00EC0803"/>
    <w:rsid w:val="00EC357A"/>
    <w:rsid w:val="00ED00A8"/>
    <w:rsid w:val="00ED77BB"/>
    <w:rsid w:val="00EE18E2"/>
    <w:rsid w:val="00EE1F51"/>
    <w:rsid w:val="00EE31E5"/>
    <w:rsid w:val="00EE395F"/>
    <w:rsid w:val="00EE4077"/>
    <w:rsid w:val="00EE4536"/>
    <w:rsid w:val="00F02EE2"/>
    <w:rsid w:val="00F224DD"/>
    <w:rsid w:val="00F75AA5"/>
    <w:rsid w:val="00F76DF3"/>
    <w:rsid w:val="00F85924"/>
    <w:rsid w:val="00F91128"/>
    <w:rsid w:val="00FA687E"/>
    <w:rsid w:val="00FA71F9"/>
    <w:rsid w:val="00FB332B"/>
    <w:rsid w:val="00FB3866"/>
    <w:rsid w:val="00FC2ED9"/>
    <w:rsid w:val="00FD6E87"/>
    <w:rsid w:val="00FF4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9DE"/>
    <w:rPr>
      <w:color w:val="0000FF" w:themeColor="hyperlink"/>
      <w:u w:val="single"/>
    </w:rPr>
  </w:style>
  <w:style w:type="paragraph" w:styleId="ListParagraph">
    <w:name w:val="List Paragraph"/>
    <w:basedOn w:val="Normal"/>
    <w:uiPriority w:val="34"/>
    <w:qFormat/>
    <w:rsid w:val="003C14C7"/>
    <w:pPr>
      <w:ind w:left="720"/>
      <w:contextualSpacing/>
    </w:pPr>
  </w:style>
  <w:style w:type="paragraph" w:styleId="BalloonText">
    <w:name w:val="Balloon Text"/>
    <w:basedOn w:val="Normal"/>
    <w:link w:val="BalloonTextChar"/>
    <w:uiPriority w:val="99"/>
    <w:semiHidden/>
    <w:unhideWhenUsed/>
    <w:rsid w:val="00086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E4F"/>
    <w:rPr>
      <w:rFonts w:ascii="Tahoma" w:hAnsi="Tahoma" w:cs="Tahoma"/>
      <w:sz w:val="16"/>
      <w:szCs w:val="16"/>
    </w:rPr>
  </w:style>
  <w:style w:type="paragraph" w:styleId="FootnoteText">
    <w:name w:val="footnote text"/>
    <w:basedOn w:val="Normal"/>
    <w:link w:val="FootnoteTextChar"/>
    <w:uiPriority w:val="99"/>
    <w:semiHidden/>
    <w:unhideWhenUsed/>
    <w:rsid w:val="004008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08E0"/>
    <w:rPr>
      <w:sz w:val="20"/>
      <w:szCs w:val="20"/>
    </w:rPr>
  </w:style>
  <w:style w:type="character" w:styleId="FootnoteReference">
    <w:name w:val="footnote reference"/>
    <w:basedOn w:val="DefaultParagraphFont"/>
    <w:uiPriority w:val="99"/>
    <w:semiHidden/>
    <w:unhideWhenUsed/>
    <w:rsid w:val="004008E0"/>
    <w:rPr>
      <w:vertAlign w:val="superscript"/>
    </w:rPr>
  </w:style>
  <w:style w:type="character" w:styleId="CommentReference">
    <w:name w:val="annotation reference"/>
    <w:basedOn w:val="DefaultParagraphFont"/>
    <w:uiPriority w:val="99"/>
    <w:semiHidden/>
    <w:unhideWhenUsed/>
    <w:rsid w:val="00901BA1"/>
    <w:rPr>
      <w:sz w:val="16"/>
      <w:szCs w:val="16"/>
    </w:rPr>
  </w:style>
  <w:style w:type="paragraph" w:styleId="CommentText">
    <w:name w:val="annotation text"/>
    <w:basedOn w:val="Normal"/>
    <w:link w:val="CommentTextChar"/>
    <w:uiPriority w:val="99"/>
    <w:unhideWhenUsed/>
    <w:rsid w:val="00901BA1"/>
    <w:pPr>
      <w:spacing w:line="240" w:lineRule="auto"/>
    </w:pPr>
    <w:rPr>
      <w:sz w:val="20"/>
      <w:szCs w:val="20"/>
    </w:rPr>
  </w:style>
  <w:style w:type="character" w:customStyle="1" w:styleId="CommentTextChar">
    <w:name w:val="Comment Text Char"/>
    <w:basedOn w:val="DefaultParagraphFont"/>
    <w:link w:val="CommentText"/>
    <w:uiPriority w:val="99"/>
    <w:rsid w:val="00901BA1"/>
    <w:rPr>
      <w:sz w:val="20"/>
      <w:szCs w:val="20"/>
    </w:rPr>
  </w:style>
  <w:style w:type="paragraph" w:styleId="CommentSubject">
    <w:name w:val="annotation subject"/>
    <w:basedOn w:val="CommentText"/>
    <w:next w:val="CommentText"/>
    <w:link w:val="CommentSubjectChar"/>
    <w:uiPriority w:val="99"/>
    <w:semiHidden/>
    <w:unhideWhenUsed/>
    <w:rsid w:val="00901BA1"/>
    <w:rPr>
      <w:b/>
      <w:bCs/>
    </w:rPr>
  </w:style>
  <w:style w:type="character" w:customStyle="1" w:styleId="CommentSubjectChar">
    <w:name w:val="Comment Subject Char"/>
    <w:basedOn w:val="CommentTextChar"/>
    <w:link w:val="CommentSubject"/>
    <w:uiPriority w:val="99"/>
    <w:semiHidden/>
    <w:rsid w:val="00901BA1"/>
    <w:rPr>
      <w:b/>
      <w:bCs/>
      <w:sz w:val="20"/>
      <w:szCs w:val="20"/>
    </w:rPr>
  </w:style>
  <w:style w:type="character" w:styleId="FollowedHyperlink">
    <w:name w:val="FollowedHyperlink"/>
    <w:basedOn w:val="DefaultParagraphFont"/>
    <w:uiPriority w:val="99"/>
    <w:semiHidden/>
    <w:unhideWhenUsed/>
    <w:rsid w:val="00CB4C86"/>
    <w:rPr>
      <w:color w:val="800080" w:themeColor="followedHyperlink"/>
      <w:u w:val="single"/>
    </w:rPr>
  </w:style>
  <w:style w:type="paragraph" w:styleId="Header">
    <w:name w:val="header"/>
    <w:basedOn w:val="Normal"/>
    <w:link w:val="HeaderChar"/>
    <w:uiPriority w:val="99"/>
    <w:unhideWhenUsed/>
    <w:rsid w:val="00424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17D"/>
  </w:style>
  <w:style w:type="paragraph" w:styleId="Footer">
    <w:name w:val="footer"/>
    <w:basedOn w:val="Normal"/>
    <w:link w:val="FooterChar"/>
    <w:unhideWhenUsed/>
    <w:rsid w:val="0042417D"/>
    <w:pPr>
      <w:tabs>
        <w:tab w:val="center" w:pos="4513"/>
        <w:tab w:val="right" w:pos="9026"/>
      </w:tabs>
      <w:spacing w:after="0" w:line="240" w:lineRule="auto"/>
    </w:pPr>
  </w:style>
  <w:style w:type="character" w:customStyle="1" w:styleId="FooterChar">
    <w:name w:val="Footer Char"/>
    <w:basedOn w:val="DefaultParagraphFont"/>
    <w:link w:val="Footer"/>
    <w:rsid w:val="004241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9DE"/>
    <w:rPr>
      <w:color w:val="0000FF" w:themeColor="hyperlink"/>
      <w:u w:val="single"/>
    </w:rPr>
  </w:style>
  <w:style w:type="paragraph" w:styleId="ListParagraph">
    <w:name w:val="List Paragraph"/>
    <w:basedOn w:val="Normal"/>
    <w:uiPriority w:val="34"/>
    <w:qFormat/>
    <w:rsid w:val="003C14C7"/>
    <w:pPr>
      <w:ind w:left="720"/>
      <w:contextualSpacing/>
    </w:pPr>
  </w:style>
  <w:style w:type="paragraph" w:styleId="BalloonText">
    <w:name w:val="Balloon Text"/>
    <w:basedOn w:val="Normal"/>
    <w:link w:val="BalloonTextChar"/>
    <w:uiPriority w:val="99"/>
    <w:semiHidden/>
    <w:unhideWhenUsed/>
    <w:rsid w:val="00086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E4F"/>
    <w:rPr>
      <w:rFonts w:ascii="Tahoma" w:hAnsi="Tahoma" w:cs="Tahoma"/>
      <w:sz w:val="16"/>
      <w:szCs w:val="16"/>
    </w:rPr>
  </w:style>
  <w:style w:type="paragraph" w:styleId="FootnoteText">
    <w:name w:val="footnote text"/>
    <w:basedOn w:val="Normal"/>
    <w:link w:val="FootnoteTextChar"/>
    <w:uiPriority w:val="99"/>
    <w:semiHidden/>
    <w:unhideWhenUsed/>
    <w:rsid w:val="004008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08E0"/>
    <w:rPr>
      <w:sz w:val="20"/>
      <w:szCs w:val="20"/>
    </w:rPr>
  </w:style>
  <w:style w:type="character" w:styleId="FootnoteReference">
    <w:name w:val="footnote reference"/>
    <w:basedOn w:val="DefaultParagraphFont"/>
    <w:uiPriority w:val="99"/>
    <w:semiHidden/>
    <w:unhideWhenUsed/>
    <w:rsid w:val="004008E0"/>
    <w:rPr>
      <w:vertAlign w:val="superscript"/>
    </w:rPr>
  </w:style>
  <w:style w:type="character" w:styleId="CommentReference">
    <w:name w:val="annotation reference"/>
    <w:basedOn w:val="DefaultParagraphFont"/>
    <w:uiPriority w:val="99"/>
    <w:semiHidden/>
    <w:unhideWhenUsed/>
    <w:rsid w:val="00901BA1"/>
    <w:rPr>
      <w:sz w:val="16"/>
      <w:szCs w:val="16"/>
    </w:rPr>
  </w:style>
  <w:style w:type="paragraph" w:styleId="CommentText">
    <w:name w:val="annotation text"/>
    <w:basedOn w:val="Normal"/>
    <w:link w:val="CommentTextChar"/>
    <w:uiPriority w:val="99"/>
    <w:unhideWhenUsed/>
    <w:rsid w:val="00901BA1"/>
    <w:pPr>
      <w:spacing w:line="240" w:lineRule="auto"/>
    </w:pPr>
    <w:rPr>
      <w:sz w:val="20"/>
      <w:szCs w:val="20"/>
    </w:rPr>
  </w:style>
  <w:style w:type="character" w:customStyle="1" w:styleId="CommentTextChar">
    <w:name w:val="Comment Text Char"/>
    <w:basedOn w:val="DefaultParagraphFont"/>
    <w:link w:val="CommentText"/>
    <w:uiPriority w:val="99"/>
    <w:rsid w:val="00901BA1"/>
    <w:rPr>
      <w:sz w:val="20"/>
      <w:szCs w:val="20"/>
    </w:rPr>
  </w:style>
  <w:style w:type="paragraph" w:styleId="CommentSubject">
    <w:name w:val="annotation subject"/>
    <w:basedOn w:val="CommentText"/>
    <w:next w:val="CommentText"/>
    <w:link w:val="CommentSubjectChar"/>
    <w:uiPriority w:val="99"/>
    <w:semiHidden/>
    <w:unhideWhenUsed/>
    <w:rsid w:val="00901BA1"/>
    <w:rPr>
      <w:b/>
      <w:bCs/>
    </w:rPr>
  </w:style>
  <w:style w:type="character" w:customStyle="1" w:styleId="CommentSubjectChar">
    <w:name w:val="Comment Subject Char"/>
    <w:basedOn w:val="CommentTextChar"/>
    <w:link w:val="CommentSubject"/>
    <w:uiPriority w:val="99"/>
    <w:semiHidden/>
    <w:rsid w:val="00901BA1"/>
    <w:rPr>
      <w:b/>
      <w:bCs/>
      <w:sz w:val="20"/>
      <w:szCs w:val="20"/>
    </w:rPr>
  </w:style>
  <w:style w:type="character" w:styleId="FollowedHyperlink">
    <w:name w:val="FollowedHyperlink"/>
    <w:basedOn w:val="DefaultParagraphFont"/>
    <w:uiPriority w:val="99"/>
    <w:semiHidden/>
    <w:unhideWhenUsed/>
    <w:rsid w:val="00CB4C86"/>
    <w:rPr>
      <w:color w:val="800080" w:themeColor="followedHyperlink"/>
      <w:u w:val="single"/>
    </w:rPr>
  </w:style>
  <w:style w:type="paragraph" w:styleId="Header">
    <w:name w:val="header"/>
    <w:basedOn w:val="Normal"/>
    <w:link w:val="HeaderChar"/>
    <w:uiPriority w:val="99"/>
    <w:unhideWhenUsed/>
    <w:rsid w:val="00424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17D"/>
  </w:style>
  <w:style w:type="paragraph" w:styleId="Footer">
    <w:name w:val="footer"/>
    <w:basedOn w:val="Normal"/>
    <w:link w:val="FooterChar"/>
    <w:unhideWhenUsed/>
    <w:rsid w:val="0042417D"/>
    <w:pPr>
      <w:tabs>
        <w:tab w:val="center" w:pos="4513"/>
        <w:tab w:val="right" w:pos="9026"/>
      </w:tabs>
      <w:spacing w:after="0" w:line="240" w:lineRule="auto"/>
    </w:pPr>
  </w:style>
  <w:style w:type="character" w:customStyle="1" w:styleId="FooterChar">
    <w:name w:val="Footer Char"/>
    <w:basedOn w:val="DefaultParagraphFont"/>
    <w:link w:val="Footer"/>
    <w:rsid w:val="00424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60118">
      <w:bodyDiv w:val="1"/>
      <w:marLeft w:val="0"/>
      <w:marRight w:val="0"/>
      <w:marTop w:val="0"/>
      <w:marBottom w:val="0"/>
      <w:divBdr>
        <w:top w:val="none" w:sz="0" w:space="0" w:color="auto"/>
        <w:left w:val="none" w:sz="0" w:space="0" w:color="auto"/>
        <w:bottom w:val="none" w:sz="0" w:space="0" w:color="auto"/>
        <w:right w:val="none" w:sz="0" w:space="0" w:color="auto"/>
      </w:divBdr>
      <w:divsChild>
        <w:div w:id="1045713586">
          <w:marLeft w:val="547"/>
          <w:marRight w:val="0"/>
          <w:marTop w:val="106"/>
          <w:marBottom w:val="0"/>
          <w:divBdr>
            <w:top w:val="none" w:sz="0" w:space="0" w:color="auto"/>
            <w:left w:val="none" w:sz="0" w:space="0" w:color="auto"/>
            <w:bottom w:val="none" w:sz="0" w:space="0" w:color="auto"/>
            <w:right w:val="none" w:sz="0" w:space="0" w:color="auto"/>
          </w:divBdr>
        </w:div>
      </w:divsChild>
    </w:div>
    <w:div w:id="206845495">
      <w:bodyDiv w:val="1"/>
      <w:marLeft w:val="0"/>
      <w:marRight w:val="0"/>
      <w:marTop w:val="0"/>
      <w:marBottom w:val="0"/>
      <w:divBdr>
        <w:top w:val="none" w:sz="0" w:space="0" w:color="auto"/>
        <w:left w:val="none" w:sz="0" w:space="0" w:color="auto"/>
        <w:bottom w:val="none" w:sz="0" w:space="0" w:color="auto"/>
        <w:right w:val="none" w:sz="0" w:space="0" w:color="auto"/>
      </w:divBdr>
      <w:divsChild>
        <w:div w:id="785078352">
          <w:marLeft w:val="547"/>
          <w:marRight w:val="0"/>
          <w:marTop w:val="77"/>
          <w:marBottom w:val="0"/>
          <w:divBdr>
            <w:top w:val="none" w:sz="0" w:space="0" w:color="auto"/>
            <w:left w:val="none" w:sz="0" w:space="0" w:color="auto"/>
            <w:bottom w:val="none" w:sz="0" w:space="0" w:color="auto"/>
            <w:right w:val="none" w:sz="0" w:space="0" w:color="auto"/>
          </w:divBdr>
        </w:div>
        <w:div w:id="390080983">
          <w:marLeft w:val="547"/>
          <w:marRight w:val="0"/>
          <w:marTop w:val="77"/>
          <w:marBottom w:val="0"/>
          <w:divBdr>
            <w:top w:val="none" w:sz="0" w:space="0" w:color="auto"/>
            <w:left w:val="none" w:sz="0" w:space="0" w:color="auto"/>
            <w:bottom w:val="none" w:sz="0" w:space="0" w:color="auto"/>
            <w:right w:val="none" w:sz="0" w:space="0" w:color="auto"/>
          </w:divBdr>
        </w:div>
        <w:div w:id="2006087422">
          <w:marLeft w:val="547"/>
          <w:marRight w:val="0"/>
          <w:marTop w:val="77"/>
          <w:marBottom w:val="0"/>
          <w:divBdr>
            <w:top w:val="none" w:sz="0" w:space="0" w:color="auto"/>
            <w:left w:val="none" w:sz="0" w:space="0" w:color="auto"/>
            <w:bottom w:val="none" w:sz="0" w:space="0" w:color="auto"/>
            <w:right w:val="none" w:sz="0" w:space="0" w:color="auto"/>
          </w:divBdr>
        </w:div>
        <w:div w:id="933170137">
          <w:marLeft w:val="547"/>
          <w:marRight w:val="0"/>
          <w:marTop w:val="77"/>
          <w:marBottom w:val="0"/>
          <w:divBdr>
            <w:top w:val="none" w:sz="0" w:space="0" w:color="auto"/>
            <w:left w:val="none" w:sz="0" w:space="0" w:color="auto"/>
            <w:bottom w:val="none" w:sz="0" w:space="0" w:color="auto"/>
            <w:right w:val="none" w:sz="0" w:space="0" w:color="auto"/>
          </w:divBdr>
        </w:div>
        <w:div w:id="896861672">
          <w:marLeft w:val="547"/>
          <w:marRight w:val="0"/>
          <w:marTop w:val="77"/>
          <w:marBottom w:val="0"/>
          <w:divBdr>
            <w:top w:val="none" w:sz="0" w:space="0" w:color="auto"/>
            <w:left w:val="none" w:sz="0" w:space="0" w:color="auto"/>
            <w:bottom w:val="none" w:sz="0" w:space="0" w:color="auto"/>
            <w:right w:val="none" w:sz="0" w:space="0" w:color="auto"/>
          </w:divBdr>
        </w:div>
      </w:divsChild>
    </w:div>
    <w:div w:id="246808719">
      <w:bodyDiv w:val="1"/>
      <w:marLeft w:val="0"/>
      <w:marRight w:val="0"/>
      <w:marTop w:val="0"/>
      <w:marBottom w:val="0"/>
      <w:divBdr>
        <w:top w:val="none" w:sz="0" w:space="0" w:color="auto"/>
        <w:left w:val="none" w:sz="0" w:space="0" w:color="auto"/>
        <w:bottom w:val="none" w:sz="0" w:space="0" w:color="auto"/>
        <w:right w:val="none" w:sz="0" w:space="0" w:color="auto"/>
      </w:divBdr>
    </w:div>
    <w:div w:id="459685323">
      <w:bodyDiv w:val="1"/>
      <w:marLeft w:val="0"/>
      <w:marRight w:val="0"/>
      <w:marTop w:val="0"/>
      <w:marBottom w:val="0"/>
      <w:divBdr>
        <w:top w:val="none" w:sz="0" w:space="0" w:color="auto"/>
        <w:left w:val="none" w:sz="0" w:space="0" w:color="auto"/>
        <w:bottom w:val="none" w:sz="0" w:space="0" w:color="auto"/>
        <w:right w:val="none" w:sz="0" w:space="0" w:color="auto"/>
      </w:divBdr>
    </w:div>
    <w:div w:id="777797025">
      <w:bodyDiv w:val="1"/>
      <w:marLeft w:val="0"/>
      <w:marRight w:val="0"/>
      <w:marTop w:val="0"/>
      <w:marBottom w:val="0"/>
      <w:divBdr>
        <w:top w:val="none" w:sz="0" w:space="0" w:color="auto"/>
        <w:left w:val="none" w:sz="0" w:space="0" w:color="auto"/>
        <w:bottom w:val="none" w:sz="0" w:space="0" w:color="auto"/>
        <w:right w:val="none" w:sz="0" w:space="0" w:color="auto"/>
      </w:divBdr>
      <w:divsChild>
        <w:div w:id="1556429354">
          <w:marLeft w:val="547"/>
          <w:marRight w:val="0"/>
          <w:marTop w:val="72"/>
          <w:marBottom w:val="0"/>
          <w:divBdr>
            <w:top w:val="none" w:sz="0" w:space="0" w:color="auto"/>
            <w:left w:val="none" w:sz="0" w:space="0" w:color="auto"/>
            <w:bottom w:val="none" w:sz="0" w:space="0" w:color="auto"/>
            <w:right w:val="none" w:sz="0" w:space="0" w:color="auto"/>
          </w:divBdr>
        </w:div>
        <w:div w:id="472065695">
          <w:marLeft w:val="547"/>
          <w:marRight w:val="0"/>
          <w:marTop w:val="72"/>
          <w:marBottom w:val="0"/>
          <w:divBdr>
            <w:top w:val="none" w:sz="0" w:space="0" w:color="auto"/>
            <w:left w:val="none" w:sz="0" w:space="0" w:color="auto"/>
            <w:bottom w:val="none" w:sz="0" w:space="0" w:color="auto"/>
            <w:right w:val="none" w:sz="0" w:space="0" w:color="auto"/>
          </w:divBdr>
        </w:div>
      </w:divsChild>
    </w:div>
    <w:div w:id="1358853986">
      <w:bodyDiv w:val="1"/>
      <w:marLeft w:val="0"/>
      <w:marRight w:val="0"/>
      <w:marTop w:val="0"/>
      <w:marBottom w:val="0"/>
      <w:divBdr>
        <w:top w:val="none" w:sz="0" w:space="0" w:color="auto"/>
        <w:left w:val="none" w:sz="0" w:space="0" w:color="auto"/>
        <w:bottom w:val="none" w:sz="0" w:space="0" w:color="auto"/>
        <w:right w:val="none" w:sz="0" w:space="0" w:color="auto"/>
      </w:divBdr>
      <w:divsChild>
        <w:div w:id="1270506276">
          <w:marLeft w:val="547"/>
          <w:marRight w:val="0"/>
          <w:marTop w:val="72"/>
          <w:marBottom w:val="0"/>
          <w:divBdr>
            <w:top w:val="none" w:sz="0" w:space="0" w:color="auto"/>
            <w:left w:val="none" w:sz="0" w:space="0" w:color="auto"/>
            <w:bottom w:val="none" w:sz="0" w:space="0" w:color="auto"/>
            <w:right w:val="none" w:sz="0" w:space="0" w:color="auto"/>
          </w:divBdr>
        </w:div>
        <w:div w:id="1882400828">
          <w:marLeft w:val="547"/>
          <w:marRight w:val="0"/>
          <w:marTop w:val="72"/>
          <w:marBottom w:val="0"/>
          <w:divBdr>
            <w:top w:val="none" w:sz="0" w:space="0" w:color="auto"/>
            <w:left w:val="none" w:sz="0" w:space="0" w:color="auto"/>
            <w:bottom w:val="none" w:sz="0" w:space="0" w:color="auto"/>
            <w:right w:val="none" w:sz="0" w:space="0" w:color="auto"/>
          </w:divBdr>
        </w:div>
        <w:div w:id="107242813">
          <w:marLeft w:val="547"/>
          <w:marRight w:val="0"/>
          <w:marTop w:val="72"/>
          <w:marBottom w:val="0"/>
          <w:divBdr>
            <w:top w:val="none" w:sz="0" w:space="0" w:color="auto"/>
            <w:left w:val="none" w:sz="0" w:space="0" w:color="auto"/>
            <w:bottom w:val="none" w:sz="0" w:space="0" w:color="auto"/>
            <w:right w:val="none" w:sz="0" w:space="0" w:color="auto"/>
          </w:divBdr>
        </w:div>
        <w:div w:id="1569343538">
          <w:marLeft w:val="547"/>
          <w:marRight w:val="0"/>
          <w:marTop w:val="72"/>
          <w:marBottom w:val="0"/>
          <w:divBdr>
            <w:top w:val="none" w:sz="0" w:space="0" w:color="auto"/>
            <w:left w:val="none" w:sz="0" w:space="0" w:color="auto"/>
            <w:bottom w:val="none" w:sz="0" w:space="0" w:color="auto"/>
            <w:right w:val="none" w:sz="0" w:space="0" w:color="auto"/>
          </w:divBdr>
        </w:div>
      </w:divsChild>
    </w:div>
    <w:div w:id="1930576129">
      <w:bodyDiv w:val="1"/>
      <w:marLeft w:val="0"/>
      <w:marRight w:val="0"/>
      <w:marTop w:val="0"/>
      <w:marBottom w:val="0"/>
      <w:divBdr>
        <w:top w:val="none" w:sz="0" w:space="0" w:color="auto"/>
        <w:left w:val="none" w:sz="0" w:space="0" w:color="auto"/>
        <w:bottom w:val="none" w:sz="0" w:space="0" w:color="auto"/>
        <w:right w:val="none" w:sz="0" w:space="0" w:color="auto"/>
      </w:divBdr>
      <w:divsChild>
        <w:div w:id="763040268">
          <w:marLeft w:val="547"/>
          <w:marRight w:val="0"/>
          <w:marTop w:val="106"/>
          <w:marBottom w:val="0"/>
          <w:divBdr>
            <w:top w:val="none" w:sz="0" w:space="0" w:color="auto"/>
            <w:left w:val="none" w:sz="0" w:space="0" w:color="auto"/>
            <w:bottom w:val="none" w:sz="0" w:space="0" w:color="auto"/>
            <w:right w:val="none" w:sz="0" w:space="0" w:color="auto"/>
          </w:divBdr>
        </w:div>
      </w:divsChild>
    </w:div>
    <w:div w:id="214094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cus.wilson@cas.org.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www.cas.org.uk/system/files/publications/different_rules_for_different_fuels_-_changeworks-cse_report.pdf" TargetMode="External"/><Relationship Id="rId13" Type="http://schemas.openxmlformats.org/officeDocument/2006/relationships/hyperlink" Target="https://www.gov.uk/government/uploads/system/uploads/attachment_data/file/665444/HNCS_Executive_Summary_-_FINAL.pdf" TargetMode="External"/><Relationship Id="rId18" Type="http://schemas.openxmlformats.org/officeDocument/2006/relationships/hyperlink" Target="https://www.cas.org.uk/system/files/publications/different_rules_for_different_fuels_-_changeworks-cse_report.pdf" TargetMode="External"/><Relationship Id="rId26" Type="http://schemas.openxmlformats.org/officeDocument/2006/relationships/hyperlink" Target="https://www.cas.org.uk/system/files/publications/different_rules_for_different_fuels_-_changeworks-cse_report.pdf" TargetMode="External"/><Relationship Id="rId3" Type="http://schemas.openxmlformats.org/officeDocument/2006/relationships/hyperlink" Target="https://www.which.co.uk/policy/utilities/363/turning-up-the-heat-getting-a-fair-deal-for-district-heating-users-which-report" TargetMode="External"/><Relationship Id="rId21" Type="http://schemas.openxmlformats.org/officeDocument/2006/relationships/hyperlink" Target="https://www.citizensadvice.org.uk/Global/CitizensAdvice/Energy/District%20Heat%20Networks%20IR%20Report%202%20(May%202017)%20-%20FINAL.pdf" TargetMode="External"/><Relationship Id="rId7" Type="http://schemas.openxmlformats.org/officeDocument/2006/relationships/hyperlink" Target="https://www.gov.uk/guidance/heat-networks" TargetMode="External"/><Relationship Id="rId12" Type="http://schemas.openxmlformats.org/officeDocument/2006/relationships/hyperlink" Target="https://www.cas.org.uk/system/files/publications/different_rules_for_different_fuels_-_changeworks-cse_report.pdf" TargetMode="External"/><Relationship Id="rId17" Type="http://schemas.openxmlformats.org/officeDocument/2006/relationships/hyperlink" Target="http://www.biopad.eu/wp-content/uploads/Case-Study-for-Wick-District-Heating-Scheme.pdf" TargetMode="External"/><Relationship Id="rId25" Type="http://schemas.openxmlformats.org/officeDocument/2006/relationships/hyperlink" Target="http://www.changeworks.org.uk/sites/default/files/Identifying_the_Fair_Share_REPORT_Final_Nov15.pdf" TargetMode="External"/><Relationship Id="rId2" Type="http://schemas.openxmlformats.org/officeDocument/2006/relationships/hyperlink" Target="https://www.cas.org.uk/system/files/publications/different_rules_for_different_fuels_-_changeworks-cse_report.pdf" TargetMode="External"/><Relationship Id="rId16" Type="http://schemas.openxmlformats.org/officeDocument/2006/relationships/hyperlink" Target="https://www.cas.org.uk/system/files/publications/different_rules_for_different_fuels_-_cfu_insight_report.pdf" TargetMode="External"/><Relationship Id="rId20" Type="http://schemas.openxmlformats.org/officeDocument/2006/relationships/hyperlink" Target="https://www.cas.org.uk/system/files/publications/different_rules_for_different_fuels_-_changeworks-cse_report.pdf" TargetMode="External"/><Relationship Id="rId1" Type="http://schemas.openxmlformats.org/officeDocument/2006/relationships/hyperlink" Target="https://www.cas.org.uk/about-us/social-policy/consumer-futures" TargetMode="External"/><Relationship Id="rId6" Type="http://schemas.openxmlformats.org/officeDocument/2006/relationships/hyperlink" Target="http://www.heattrust.org/images/docs/Heat_Trust_Annual_Report_Final_-_Web.pdf" TargetMode="External"/><Relationship Id="rId11" Type="http://schemas.openxmlformats.org/officeDocument/2006/relationships/hyperlink" Target="https://www.cas.org.uk/system/files/publications/different_rules_for_different_fuels_-_changeworks-cse_report.pdf" TargetMode="External"/><Relationship Id="rId24" Type="http://schemas.openxmlformats.org/officeDocument/2006/relationships/hyperlink" Target="https://www.ofgem.gov.uk/publications-and-updates/infographic-bills-prices-and-profits" TargetMode="External"/><Relationship Id="rId5" Type="http://schemas.openxmlformats.org/officeDocument/2006/relationships/hyperlink" Target="https://www.which.co.uk/policy/utilities/363/turning-up-the-heat-getting-a-fair-deal-for-district-heating-users-which-report" TargetMode="External"/><Relationship Id="rId15" Type="http://schemas.openxmlformats.org/officeDocument/2006/relationships/hyperlink" Target="https://www.cas.org.uk/system/files/publications/different_rules_for_different_fuels_-_cfu_insight_report.pdf" TargetMode="External"/><Relationship Id="rId23" Type="http://schemas.openxmlformats.org/officeDocument/2006/relationships/hyperlink" Target="https://www.gov.uk/government/uploads/system/uploads/attachment_data/file/665444/HNCS_Executive_Summary_-_FINAL.pdf" TargetMode="External"/><Relationship Id="rId28" Type="http://schemas.openxmlformats.org/officeDocument/2006/relationships/hyperlink" Target="https://www.cas.org.uk/system/files/publications/different_rules_for_different_fuels_-_cfu_insight_report.pdf" TargetMode="External"/><Relationship Id="rId10" Type="http://schemas.openxmlformats.org/officeDocument/2006/relationships/hyperlink" Target="https://www.cas.org.uk/system/files/publications/different_rules_for_different_fuels_-_changeworks-cse_report.pdf" TargetMode="External"/><Relationship Id="rId19" Type="http://schemas.openxmlformats.org/officeDocument/2006/relationships/hyperlink" Target="http://www.changeworks.org.uk/sites/default/files/Identifying_the_Fair_Share_REPORT_Final_Nov15.pdf" TargetMode="External"/><Relationship Id="rId4" Type="http://schemas.openxmlformats.org/officeDocument/2006/relationships/hyperlink" Target="https://www.cas.org.uk/system/files/publications/hot_off_the_grid_delivering_energy_efficiency_to_rural_off-gas_scotland_final.pdf" TargetMode="External"/><Relationship Id="rId9" Type="http://schemas.openxmlformats.org/officeDocument/2006/relationships/hyperlink" Target="https://www.citizensadvice.org.uk/consumer/energy/energy-supply/problems-with-your-energy-bill/your-gas-or-electricity-supplier-has-put-up-its-prices/" TargetMode="External"/><Relationship Id="rId14" Type="http://schemas.openxmlformats.org/officeDocument/2006/relationships/hyperlink" Target="https://www.cas.org.uk/system/files/publications/different_rules_for_different_fuels_-_changeworks-cse_report.pdf" TargetMode="External"/><Relationship Id="rId22" Type="http://schemas.openxmlformats.org/officeDocument/2006/relationships/hyperlink" Target="http://www.gov.scot/Resource/0052/00529523.pdf" TargetMode="External"/><Relationship Id="rId27" Type="http://schemas.openxmlformats.org/officeDocument/2006/relationships/hyperlink" Target="file:///C:\Users\WilsonM\Downloads\Expert_commission_DH_SWG_Regulatory_Options-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4B3B6-126C-435C-B415-F931E4AA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8</Pages>
  <Words>2914</Words>
  <Characters>16611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19487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Wilson</dc:creator>
  <cp:lastModifiedBy>Marcus Wilson</cp:lastModifiedBy>
  <cp:revision>32</cp:revision>
  <dcterms:created xsi:type="dcterms:W3CDTF">2018-01-10T15:18:00Z</dcterms:created>
  <dcterms:modified xsi:type="dcterms:W3CDTF">2018-01-12T15:37:00Z</dcterms:modified>
</cp:coreProperties>
</file>