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3" w:rsidRDefault="003160EF" w:rsidP="00674F93">
      <w:pPr>
        <w:pStyle w:val="Heading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CITIZENS ADVICE</w:t>
      </w:r>
    </w:p>
    <w:p w:rsidR="003160EF" w:rsidRDefault="005C1D13" w:rsidP="005C1D13">
      <w:pPr>
        <w:pStyle w:val="Heading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EU SUPPORT SCEHEME – </w:t>
      </w:r>
      <w:r w:rsidR="00F50C03">
        <w:rPr>
          <w:rFonts w:ascii="Arial" w:hAnsi="Arial" w:cs="Arial"/>
          <w:b/>
          <w:bCs/>
        </w:rPr>
        <w:t xml:space="preserve">DEDICATED </w:t>
      </w:r>
      <w:r>
        <w:rPr>
          <w:rFonts w:ascii="Arial" w:hAnsi="Arial" w:cs="Arial"/>
          <w:b/>
          <w:bCs/>
        </w:rPr>
        <w:t>ADVISER</w:t>
      </w:r>
    </w:p>
    <w:p w:rsidR="003160EF" w:rsidRDefault="003160EF">
      <w:pPr>
        <w:rPr>
          <w:rFonts w:ascii="Arial" w:hAnsi="Arial" w:cs="Arial"/>
        </w:rPr>
      </w:pPr>
    </w:p>
    <w:p w:rsidR="003160EF" w:rsidRDefault="003160EF">
      <w:pPr>
        <w:rPr>
          <w:rFonts w:ascii="Arial" w:hAnsi="Arial" w:cs="Arial"/>
        </w:rPr>
      </w:pPr>
      <w:r>
        <w:rPr>
          <w:rFonts w:ascii="Arial" w:hAnsi="Arial" w:cs="Arial"/>
        </w:rPr>
        <w:t>Name of Employer:</w:t>
      </w:r>
      <w:r w:rsidR="00A01E67">
        <w:rPr>
          <w:rFonts w:ascii="Arial" w:hAnsi="Arial" w:cs="Arial"/>
        </w:rPr>
        <w:t xml:space="preserve"> Peebles and District Citizens Advice Bureau</w:t>
      </w:r>
    </w:p>
    <w:p w:rsidR="003160EF" w:rsidRDefault="003160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60EF" w:rsidRDefault="003160EF">
      <w:pPr>
        <w:rPr>
          <w:rFonts w:ascii="Arial" w:hAnsi="Arial" w:cs="Arial"/>
        </w:rPr>
      </w:pPr>
      <w:r>
        <w:rPr>
          <w:rFonts w:ascii="Arial" w:hAnsi="Arial" w:cs="Arial"/>
        </w:rPr>
        <w:t>Job Title:</w:t>
      </w:r>
      <w:r w:rsidR="005C1D13">
        <w:rPr>
          <w:rFonts w:ascii="Arial" w:hAnsi="Arial" w:cs="Arial"/>
        </w:rPr>
        <w:t xml:space="preserve"> EU Support Scheme </w:t>
      </w:r>
      <w:r w:rsidR="00F50C03">
        <w:rPr>
          <w:rFonts w:ascii="Arial" w:hAnsi="Arial" w:cs="Arial"/>
        </w:rPr>
        <w:t>Dedicated</w:t>
      </w:r>
      <w:r w:rsidR="005C1D13">
        <w:rPr>
          <w:rFonts w:ascii="Arial" w:hAnsi="Arial" w:cs="Arial"/>
        </w:rPr>
        <w:t xml:space="preserve"> Adviser</w:t>
      </w:r>
    </w:p>
    <w:p w:rsidR="003160EF" w:rsidRDefault="003160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60EF" w:rsidRDefault="003160EF">
      <w:pPr>
        <w:rPr>
          <w:rFonts w:ascii="Arial" w:hAnsi="Arial" w:cs="Arial"/>
        </w:rPr>
      </w:pPr>
      <w:r>
        <w:rPr>
          <w:rFonts w:ascii="Arial" w:hAnsi="Arial" w:cs="Arial"/>
        </w:rPr>
        <w:t>Responsible to:</w:t>
      </w:r>
      <w:r>
        <w:rPr>
          <w:rFonts w:ascii="Arial" w:hAnsi="Arial" w:cs="Arial"/>
        </w:rPr>
        <w:tab/>
      </w:r>
      <w:r w:rsidR="00A01E67">
        <w:rPr>
          <w:rFonts w:ascii="Arial" w:hAnsi="Arial" w:cs="Arial"/>
        </w:rPr>
        <w:t>Bureau Manager</w:t>
      </w:r>
    </w:p>
    <w:p w:rsidR="003160EF" w:rsidRDefault="003160EF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Responsible for:</w:t>
      </w:r>
    </w:p>
    <w:p w:rsidR="003160EF" w:rsidRDefault="003160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of main responsibilities:</w:t>
      </w:r>
    </w:p>
    <w:p w:rsidR="003160EF" w:rsidRDefault="00D671B4" w:rsidP="00E94AB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EU Support Scheme </w:t>
      </w:r>
      <w:r w:rsidR="00F50C03">
        <w:rPr>
          <w:rFonts w:ascii="Arial" w:hAnsi="Arial" w:cs="Arial"/>
        </w:rPr>
        <w:t>Dedicated</w:t>
      </w:r>
      <w:r>
        <w:rPr>
          <w:rFonts w:ascii="Arial" w:hAnsi="Arial" w:cs="Arial"/>
        </w:rPr>
        <w:t xml:space="preserve"> Adviser will be responsible for the</w:t>
      </w:r>
      <w:r w:rsidR="00E94ABB">
        <w:rPr>
          <w:rFonts w:ascii="Arial" w:hAnsi="Arial" w:cs="Arial"/>
        </w:rPr>
        <w:t xml:space="preserve"> provision of advice and support to the public and </w:t>
      </w:r>
      <w:r w:rsidR="00F50C03">
        <w:rPr>
          <w:rFonts w:ascii="Arial" w:hAnsi="Arial" w:cs="Arial"/>
        </w:rPr>
        <w:t xml:space="preserve">bureaux </w:t>
      </w:r>
      <w:r w:rsidR="00DC19D7">
        <w:rPr>
          <w:rFonts w:ascii="Arial" w:hAnsi="Arial" w:cs="Arial"/>
        </w:rPr>
        <w:t xml:space="preserve">directly and </w:t>
      </w:r>
      <w:r w:rsidR="00E94ABB">
        <w:rPr>
          <w:rFonts w:ascii="Arial" w:hAnsi="Arial" w:cs="Arial"/>
        </w:rPr>
        <w:t>through a national helpline.</w:t>
      </w:r>
    </w:p>
    <w:p w:rsidR="00E94ABB" w:rsidRDefault="00E94ABB" w:rsidP="00E94AB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EU Support Scheme </w:t>
      </w:r>
      <w:r w:rsidR="00F50C03">
        <w:rPr>
          <w:rFonts w:ascii="Arial" w:hAnsi="Arial" w:cs="Arial"/>
        </w:rPr>
        <w:t>Dedicated</w:t>
      </w:r>
      <w:r>
        <w:rPr>
          <w:rFonts w:ascii="Arial" w:hAnsi="Arial" w:cs="Arial"/>
        </w:rPr>
        <w:t xml:space="preserve"> Adviser will deliver training, stakeholder engagement, CAB briefings and facilitate regional events.</w:t>
      </w:r>
    </w:p>
    <w:p w:rsidR="00E94ABB" w:rsidRPr="00E94ABB" w:rsidRDefault="00E94ABB" w:rsidP="00E94ABB">
      <w:pPr>
        <w:ind w:left="360"/>
        <w:rPr>
          <w:rFonts w:ascii="Arial" w:hAnsi="Arial" w:cs="Arial"/>
        </w:rPr>
      </w:pPr>
    </w:p>
    <w:p w:rsidR="003160EF" w:rsidRDefault="003160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General Responsibilities:</w:t>
      </w:r>
    </w:p>
    <w:p w:rsidR="00E94ABB" w:rsidRDefault="00917962" w:rsidP="00E94AB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 advice and support</w:t>
      </w:r>
      <w:r w:rsidR="00F50C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50C03">
        <w:rPr>
          <w:rFonts w:ascii="Arial" w:hAnsi="Arial" w:cs="Arial"/>
        </w:rPr>
        <w:t>up to OISC Level 1,</w:t>
      </w:r>
      <w:r w:rsidR="00421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vulnerable clients wishing to apply for the EU settlement scheme.</w:t>
      </w:r>
    </w:p>
    <w:p w:rsidR="00917962" w:rsidRDefault="00917962" w:rsidP="00E94AB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 support and training for staff and volunteers involved in the delivery of information and advice.</w:t>
      </w:r>
    </w:p>
    <w:p w:rsidR="00917962" w:rsidRDefault="00917962" w:rsidP="00E94AB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Liaise with local groups and organisations to ensure the public are aware of the scheme.</w:t>
      </w:r>
    </w:p>
    <w:p w:rsidR="00917962" w:rsidRDefault="00917962" w:rsidP="00E94AB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Maintain, strengthen and develop relationships with local statutory and voluntary organisations.</w:t>
      </w:r>
    </w:p>
    <w:p w:rsidR="00917962" w:rsidRDefault="00917962" w:rsidP="00E94AB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Champion awareness</w:t>
      </w:r>
      <w:r w:rsidR="00F50C0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raising events to provide advice, supplemented by diagnostic sessions. </w:t>
      </w:r>
    </w:p>
    <w:p w:rsidR="00094000" w:rsidRDefault="00094000" w:rsidP="00E94AB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Maintain expertise in relevant legislation and guidance.</w:t>
      </w:r>
    </w:p>
    <w:p w:rsidR="00E94ABB" w:rsidRDefault="00E94ABB" w:rsidP="00E94ABB">
      <w:pPr>
        <w:rPr>
          <w:rFonts w:ascii="Arial" w:hAnsi="Arial" w:cs="Arial"/>
        </w:rPr>
      </w:pPr>
    </w:p>
    <w:p w:rsidR="00E94ABB" w:rsidRDefault="00917962" w:rsidP="00E94A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Tasks:</w:t>
      </w:r>
    </w:p>
    <w:p w:rsidR="00DC19D7" w:rsidRPr="00DB3155" w:rsidRDefault="00DC19D7" w:rsidP="00094000">
      <w:pPr>
        <w:numPr>
          <w:ilvl w:val="0"/>
          <w:numId w:val="10"/>
        </w:numPr>
        <w:rPr>
          <w:rFonts w:ascii="Arial" w:hAnsi="Arial" w:cs="Arial"/>
        </w:rPr>
      </w:pPr>
      <w:r w:rsidRPr="00DB3155">
        <w:rPr>
          <w:rFonts w:ascii="Arial" w:hAnsi="Arial" w:cs="Arial"/>
        </w:rPr>
        <w:t xml:space="preserve">Provide advice to clients where there are </w:t>
      </w:r>
      <w:r w:rsidR="00F50C03">
        <w:rPr>
          <w:rFonts w:ascii="Arial" w:hAnsi="Arial" w:cs="Arial"/>
        </w:rPr>
        <w:t>s</w:t>
      </w:r>
      <w:r w:rsidR="00674F93" w:rsidRPr="00DB3155">
        <w:rPr>
          <w:rFonts w:ascii="Arial" w:hAnsi="Arial" w:cs="Arial"/>
        </w:rPr>
        <w:t>pecific</w:t>
      </w:r>
      <w:r w:rsidRPr="00DB3155">
        <w:rPr>
          <w:rFonts w:ascii="Arial" w:hAnsi="Arial" w:cs="Arial"/>
        </w:rPr>
        <w:t xml:space="preserve"> EU Settlement issues</w:t>
      </w:r>
      <w:r w:rsidR="00674F93" w:rsidRPr="00DB3155">
        <w:rPr>
          <w:rFonts w:ascii="Arial" w:hAnsi="Arial" w:cs="Arial"/>
        </w:rPr>
        <w:t xml:space="preserve"> up to OISC </w:t>
      </w:r>
      <w:r w:rsidR="00F50C03">
        <w:rPr>
          <w:rFonts w:ascii="Arial" w:hAnsi="Arial" w:cs="Arial"/>
        </w:rPr>
        <w:t xml:space="preserve">Level </w:t>
      </w:r>
      <w:r w:rsidR="00674F93" w:rsidRPr="00DB3155">
        <w:rPr>
          <w:rFonts w:ascii="Arial" w:hAnsi="Arial" w:cs="Arial"/>
        </w:rPr>
        <w:t xml:space="preserve">1 standards </w:t>
      </w:r>
    </w:p>
    <w:p w:rsidR="00094000" w:rsidRDefault="00094000" w:rsidP="0009400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advice and support on EU Settlement on a national </w:t>
      </w:r>
      <w:r w:rsidR="00F50C03">
        <w:rPr>
          <w:rFonts w:ascii="Arial" w:hAnsi="Arial" w:cs="Arial"/>
        </w:rPr>
        <w:t>h</w:t>
      </w:r>
      <w:r>
        <w:rPr>
          <w:rFonts w:ascii="Arial" w:hAnsi="Arial" w:cs="Arial"/>
        </w:rPr>
        <w:t>elpline</w:t>
      </w:r>
    </w:p>
    <w:p w:rsidR="00E94ABB" w:rsidRDefault="00E94ABB" w:rsidP="00E94ABB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Giv</w:t>
      </w:r>
      <w:r w:rsidR="0009400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talks to community groups, </w:t>
      </w:r>
      <w:r w:rsidR="00094000">
        <w:rPr>
          <w:rFonts w:ascii="Arial" w:hAnsi="Arial" w:cs="Arial"/>
        </w:rPr>
        <w:t>stakeholders</w:t>
      </w:r>
      <w:r>
        <w:rPr>
          <w:rFonts w:ascii="Arial" w:hAnsi="Arial" w:cs="Arial"/>
        </w:rPr>
        <w:t>, etc.</w:t>
      </w:r>
    </w:p>
    <w:p w:rsidR="00E94ABB" w:rsidRDefault="00094000" w:rsidP="00E94AB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E94ABB">
        <w:rPr>
          <w:rFonts w:ascii="Arial" w:hAnsi="Arial" w:cs="Arial"/>
        </w:rPr>
        <w:t xml:space="preserve"> training and information materials</w:t>
      </w:r>
    </w:p>
    <w:p w:rsidR="00F50C03" w:rsidRPr="00F50C03" w:rsidRDefault="00094000" w:rsidP="00DB3155">
      <w:pPr>
        <w:numPr>
          <w:ilvl w:val="0"/>
          <w:numId w:val="8"/>
        </w:numPr>
        <w:rPr>
          <w:rFonts w:ascii="Tahoma" w:hAnsi="Tahoma" w:cs="Tahoma"/>
        </w:rPr>
      </w:pPr>
      <w:r w:rsidRPr="00DB3155">
        <w:rPr>
          <w:rFonts w:ascii="Arial" w:hAnsi="Arial" w:cs="Arial"/>
        </w:rPr>
        <w:t>Produce</w:t>
      </w:r>
      <w:r w:rsidR="00E94ABB" w:rsidRPr="00DB3155">
        <w:rPr>
          <w:rFonts w:ascii="Arial" w:hAnsi="Arial" w:cs="Arial"/>
        </w:rPr>
        <w:t xml:space="preserve"> report</w:t>
      </w:r>
      <w:r w:rsidRPr="00DB3155">
        <w:rPr>
          <w:rFonts w:ascii="Arial" w:hAnsi="Arial" w:cs="Arial"/>
        </w:rPr>
        <w:t>s</w:t>
      </w:r>
      <w:r w:rsidR="00E94ABB" w:rsidRPr="00DB3155">
        <w:rPr>
          <w:rFonts w:ascii="Arial" w:hAnsi="Arial" w:cs="Arial"/>
        </w:rPr>
        <w:t xml:space="preserve"> and plan</w:t>
      </w:r>
      <w:r w:rsidRPr="00DB3155">
        <w:rPr>
          <w:rFonts w:ascii="Arial" w:hAnsi="Arial" w:cs="Arial"/>
        </w:rPr>
        <w:t>s</w:t>
      </w:r>
      <w:r w:rsidR="00E94ABB" w:rsidRPr="00DB3155">
        <w:rPr>
          <w:rFonts w:ascii="Arial" w:hAnsi="Arial" w:cs="Arial"/>
        </w:rPr>
        <w:t xml:space="preserve"> for the purposes of monitoring and reviewing the objectives of the service</w:t>
      </w:r>
      <w:r w:rsidR="00DB3155">
        <w:rPr>
          <w:rFonts w:ascii="Arial" w:hAnsi="Arial" w:cs="Arial"/>
        </w:rPr>
        <w:t xml:space="preserve">.  </w:t>
      </w:r>
    </w:p>
    <w:p w:rsidR="00F50C03" w:rsidRPr="00F50C03" w:rsidRDefault="00094000" w:rsidP="00DB3155">
      <w:pPr>
        <w:numPr>
          <w:ilvl w:val="0"/>
          <w:numId w:val="8"/>
        </w:numPr>
        <w:rPr>
          <w:rFonts w:ascii="Tahoma" w:hAnsi="Tahoma" w:cs="Tahoma"/>
        </w:rPr>
      </w:pPr>
      <w:r w:rsidRPr="00DB3155">
        <w:rPr>
          <w:rFonts w:ascii="Arial" w:hAnsi="Arial" w:cs="Arial"/>
        </w:rPr>
        <w:t>Provide support for volunteers and staff in bureaux on more complex issues.</w:t>
      </w:r>
      <w:r w:rsidR="00DB3155">
        <w:rPr>
          <w:rFonts w:ascii="Arial" w:hAnsi="Arial" w:cs="Arial"/>
        </w:rPr>
        <w:t xml:space="preserve"> </w:t>
      </w:r>
    </w:p>
    <w:p w:rsidR="00F50C03" w:rsidRDefault="00674F93" w:rsidP="00DB3155">
      <w:pPr>
        <w:numPr>
          <w:ilvl w:val="0"/>
          <w:numId w:val="8"/>
        </w:numPr>
        <w:rPr>
          <w:rFonts w:ascii="Tahoma" w:hAnsi="Tahoma" w:cs="Tahoma"/>
        </w:rPr>
      </w:pPr>
      <w:r w:rsidRPr="00DB3155">
        <w:rPr>
          <w:rFonts w:ascii="Tahoma" w:hAnsi="Tahoma" w:cs="Tahoma"/>
        </w:rPr>
        <w:t>To record, update and maintain information on a case management system for the purpose of continuity of casework, information retrieval, statistical monitoring and report preparation</w:t>
      </w:r>
      <w:r w:rsidR="00DB3155" w:rsidRPr="00DB3155">
        <w:rPr>
          <w:rFonts w:ascii="Tahoma" w:hAnsi="Tahoma" w:cs="Tahoma"/>
        </w:rPr>
        <w:t xml:space="preserve"> to</w:t>
      </w:r>
      <w:r w:rsidRPr="00DB3155">
        <w:rPr>
          <w:rFonts w:ascii="Tahoma" w:hAnsi="Tahoma" w:cs="Tahoma"/>
        </w:rPr>
        <w:t xml:space="preserve"> ensure that all work meets quality standards and the requirements of the funder</w:t>
      </w:r>
      <w:r w:rsidR="00DB3155" w:rsidRPr="00DB3155">
        <w:rPr>
          <w:rFonts w:ascii="Tahoma" w:hAnsi="Tahoma" w:cs="Tahoma"/>
        </w:rPr>
        <w:t xml:space="preserve">. </w:t>
      </w:r>
    </w:p>
    <w:p w:rsidR="00DB3155" w:rsidRPr="00DB3155" w:rsidRDefault="00DB3155" w:rsidP="00DB3155">
      <w:pPr>
        <w:numPr>
          <w:ilvl w:val="0"/>
          <w:numId w:val="8"/>
        </w:numPr>
        <w:rPr>
          <w:rFonts w:ascii="Tahoma" w:hAnsi="Tahoma" w:cs="Tahoma"/>
        </w:rPr>
      </w:pPr>
      <w:r w:rsidRPr="00DB3155">
        <w:rPr>
          <w:rFonts w:ascii="Arial" w:hAnsi="Arial" w:cs="Arial"/>
        </w:rPr>
        <w:t>Carry out other duties as specified by the Manager and required by the exigencies of the post</w:t>
      </w:r>
    </w:p>
    <w:p w:rsidR="003160EF" w:rsidRDefault="00A01E67" w:rsidP="005C1D13">
      <w:pPr>
        <w:ind w:hanging="284"/>
        <w:jc w:val="center"/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br w:type="page"/>
      </w:r>
      <w:r w:rsidR="005C1D13">
        <w:rPr>
          <w:rFonts w:ascii="Arial" w:hAnsi="Arial" w:cs="Arial"/>
          <w:b/>
          <w:bCs/>
        </w:rPr>
        <w:lastRenderedPageBreak/>
        <w:t xml:space="preserve">EU SUPPORT SCHEME </w:t>
      </w:r>
      <w:r w:rsidR="00F50C03">
        <w:rPr>
          <w:rFonts w:ascii="Arial" w:hAnsi="Arial" w:cs="Arial"/>
          <w:b/>
          <w:bCs/>
        </w:rPr>
        <w:t>DEDICATED</w:t>
      </w:r>
      <w:r w:rsidR="005C1D13">
        <w:rPr>
          <w:rFonts w:ascii="Arial" w:hAnsi="Arial" w:cs="Arial"/>
          <w:b/>
          <w:bCs/>
        </w:rPr>
        <w:t xml:space="preserve"> ADVISER</w:t>
      </w:r>
      <w:r w:rsidR="00C61118">
        <w:rPr>
          <w:rFonts w:ascii="Arial" w:hAnsi="Arial" w:cs="Arial"/>
          <w:b/>
          <w:bCs/>
        </w:rPr>
        <w:t xml:space="preserve"> - PERSON SPECIFICATION</w:t>
      </w:r>
    </w:p>
    <w:p w:rsidR="003160EF" w:rsidRDefault="003160EF">
      <w:pPr>
        <w:rPr>
          <w:rFonts w:ascii="Arial" w:hAnsi="Arial" w:cs="Arial"/>
        </w:rPr>
      </w:pPr>
    </w:p>
    <w:tbl>
      <w:tblPr>
        <w:tblW w:w="8888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521"/>
      </w:tblGrid>
      <w:tr w:rsidR="00C61118" w:rsidTr="004A6AFA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8" w:rsidRDefault="00F50C03" w:rsidP="00C61118">
            <w:pPr>
              <w:pStyle w:val="Heading4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DEDICATED</w:t>
            </w:r>
            <w:r w:rsidR="005C1D13">
              <w:rPr>
                <w:rFonts w:ascii="Arial" w:hAnsi="Arial" w:cs="Arial"/>
              </w:rPr>
              <w:t xml:space="preserve"> ADVISER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8" w:rsidRDefault="00C61118" w:rsidP="00C61118">
            <w:pPr>
              <w:pStyle w:val="Heading4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COMPETENCIES</w:t>
            </w:r>
          </w:p>
        </w:tc>
      </w:tr>
      <w:tr w:rsidR="00C61118" w:rsidTr="00D671B4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8" w:rsidRDefault="00C61118" w:rsidP="00F50C03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8" w:rsidRDefault="00C61118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of general education.</w:t>
            </w:r>
          </w:p>
        </w:tc>
      </w:tr>
      <w:tr w:rsidR="00C61118" w:rsidTr="00D671B4">
        <w:tblPrEx>
          <w:tblCellMar>
            <w:top w:w="0" w:type="dxa"/>
            <w:bottom w:w="0" w:type="dxa"/>
          </w:tblCellMar>
        </w:tblPrEx>
        <w:trPr>
          <w:trHeight w:val="2531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8" w:rsidRDefault="00C61118" w:rsidP="00C61118">
            <w:pPr>
              <w:pStyle w:val="Heading4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  <w:p w:rsidR="00C61118" w:rsidRDefault="00C61118" w:rsidP="00C61118">
            <w:pPr>
              <w:pStyle w:val="Heading4"/>
              <w:spacing w:before="40" w:after="4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18" w:rsidRDefault="00C61118" w:rsidP="00D671B4">
            <w:pPr>
              <w:numPr>
                <w:ilvl w:val="0"/>
                <w:numId w:val="6"/>
              </w:numPr>
              <w:spacing w:before="40" w:after="4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</w:t>
            </w:r>
            <w:r w:rsidR="002042AE">
              <w:rPr>
                <w:rFonts w:ascii="Arial" w:hAnsi="Arial" w:cs="Arial"/>
              </w:rPr>
              <w:t>experience in the advice sector</w:t>
            </w:r>
          </w:p>
          <w:p w:rsidR="00C61118" w:rsidRDefault="005C1D13" w:rsidP="00D671B4">
            <w:pPr>
              <w:numPr>
                <w:ilvl w:val="0"/>
                <w:numId w:val="6"/>
              </w:numPr>
              <w:spacing w:before="40" w:after="4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the preparation and  presentation of training courses</w:t>
            </w:r>
          </w:p>
          <w:p w:rsidR="00C61118" w:rsidRDefault="00C61118" w:rsidP="00D671B4">
            <w:pPr>
              <w:numPr>
                <w:ilvl w:val="0"/>
                <w:numId w:val="6"/>
              </w:numPr>
              <w:spacing w:before="40" w:after="4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</w:t>
            </w:r>
            <w:r w:rsidR="002042AE">
              <w:rPr>
                <w:rFonts w:ascii="Arial" w:hAnsi="Arial" w:cs="Arial"/>
              </w:rPr>
              <w:t>ience in proj</w:t>
            </w:r>
            <w:r w:rsidR="00A538DC">
              <w:rPr>
                <w:rFonts w:ascii="Arial" w:hAnsi="Arial" w:cs="Arial"/>
              </w:rPr>
              <w:t>ect management</w:t>
            </w:r>
          </w:p>
          <w:p w:rsidR="00C61118" w:rsidRDefault="005C1D13" w:rsidP="00D671B4">
            <w:pPr>
              <w:numPr>
                <w:ilvl w:val="0"/>
                <w:numId w:val="6"/>
              </w:numPr>
              <w:spacing w:before="40" w:after="4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the use of computers</w:t>
            </w:r>
          </w:p>
          <w:p w:rsidR="00C61118" w:rsidRPr="00D671B4" w:rsidRDefault="00C61118" w:rsidP="00D671B4">
            <w:pPr>
              <w:numPr>
                <w:ilvl w:val="0"/>
                <w:numId w:val="6"/>
              </w:numPr>
              <w:spacing w:before="40" w:after="4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="002042AE">
              <w:rPr>
                <w:rFonts w:ascii="Arial" w:hAnsi="Arial" w:cs="Arial"/>
              </w:rPr>
              <w:t xml:space="preserve">perience of </w:t>
            </w:r>
            <w:r w:rsidR="005C1D13">
              <w:rPr>
                <w:rFonts w:ascii="Arial" w:hAnsi="Arial" w:cs="Arial"/>
              </w:rPr>
              <w:t>preparing reports, plans and proposals</w:t>
            </w:r>
            <w:r w:rsidR="002042AE">
              <w:rPr>
                <w:rFonts w:ascii="Arial" w:hAnsi="Arial" w:cs="Arial"/>
              </w:rPr>
              <w:t>.</w:t>
            </w:r>
          </w:p>
        </w:tc>
      </w:tr>
      <w:tr w:rsidR="00C61118" w:rsidTr="004A6AFA">
        <w:tblPrEx>
          <w:tblCellMar>
            <w:top w:w="0" w:type="dxa"/>
            <w:bottom w:w="0" w:type="dxa"/>
          </w:tblCellMar>
        </w:tblPrEx>
        <w:trPr>
          <w:trHeight w:val="2739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8" w:rsidRDefault="00C61118" w:rsidP="00C6111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 AND</w:t>
            </w:r>
          </w:p>
          <w:p w:rsidR="00C61118" w:rsidRDefault="00C61118" w:rsidP="00C6111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ATTRIBUTES</w:t>
            </w:r>
          </w:p>
          <w:p w:rsidR="00C61118" w:rsidRDefault="00C61118" w:rsidP="00C61118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18" w:rsidRDefault="00C61118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proficient</w:t>
            </w:r>
          </w:p>
          <w:p w:rsidR="00C61118" w:rsidRDefault="00C61118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written and oral commun</w:t>
            </w:r>
            <w:r w:rsidR="002042AE">
              <w:rPr>
                <w:rFonts w:ascii="Arial" w:hAnsi="Arial" w:cs="Arial"/>
              </w:rPr>
              <w:t>ication skills</w:t>
            </w:r>
          </w:p>
          <w:p w:rsidR="00C61118" w:rsidRDefault="002042AE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plan work</w:t>
            </w:r>
          </w:p>
          <w:p w:rsidR="00C61118" w:rsidRDefault="00C61118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develop</w:t>
            </w:r>
            <w:r w:rsidR="002042AE">
              <w:rPr>
                <w:rFonts w:ascii="Arial" w:hAnsi="Arial" w:cs="Arial"/>
              </w:rPr>
              <w:t xml:space="preserve"> new ideas through to operation</w:t>
            </w:r>
          </w:p>
          <w:p w:rsidR="00C61118" w:rsidRDefault="00C61118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 and problem solving skills</w:t>
            </w:r>
          </w:p>
          <w:p w:rsidR="00C61118" w:rsidRDefault="00C61118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</w:t>
            </w:r>
            <w:r w:rsidR="002042AE">
              <w:rPr>
                <w:rFonts w:ascii="Arial" w:hAnsi="Arial" w:cs="Arial"/>
              </w:rPr>
              <w:t>lity to adapt to new situations</w:t>
            </w:r>
          </w:p>
          <w:p w:rsidR="00C61118" w:rsidRDefault="00C61118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Skilled in report writing.</w:t>
            </w:r>
          </w:p>
          <w:p w:rsidR="005C1D13" w:rsidRDefault="005C1D13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without close supervision, prioritise own work and meet deadlines</w:t>
            </w:r>
          </w:p>
          <w:p w:rsidR="00C61118" w:rsidRPr="00D671B4" w:rsidRDefault="005C1D13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hours flexibly as required by the needs of the service.</w:t>
            </w:r>
          </w:p>
        </w:tc>
      </w:tr>
      <w:tr w:rsidR="00C61118" w:rsidTr="004A6AFA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8" w:rsidRDefault="00C61118" w:rsidP="00C6111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VALUES AND </w:t>
            </w:r>
          </w:p>
          <w:p w:rsidR="00C61118" w:rsidRDefault="00C61118" w:rsidP="00C6111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ATTITUDES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8" w:rsidRDefault="002042AE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team working</w:t>
            </w:r>
          </w:p>
          <w:p w:rsidR="00C61118" w:rsidRDefault="005C1D13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aims, principles and policies of the CAB.</w:t>
            </w:r>
          </w:p>
          <w:p w:rsidR="00C61118" w:rsidRDefault="00C61118" w:rsidP="00D671B4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development of equal opportunities</w:t>
            </w:r>
            <w:r w:rsidR="002042AE">
              <w:rPr>
                <w:rFonts w:ascii="Arial" w:hAnsi="Arial" w:cs="Arial"/>
              </w:rPr>
              <w:t>.</w:t>
            </w:r>
          </w:p>
        </w:tc>
      </w:tr>
      <w:tr w:rsidR="00C61118" w:rsidTr="004A6AFA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118" w:rsidRDefault="00C61118" w:rsidP="00C6111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D13" w:rsidRDefault="005C1D13" w:rsidP="00D671B4">
            <w:pPr>
              <w:numPr>
                <w:ilvl w:val="0"/>
                <w:numId w:val="6"/>
              </w:numPr>
              <w:spacing w:before="40" w:after="4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EU Settlement Scheme</w:t>
            </w:r>
            <w:r w:rsidR="00F50C03">
              <w:rPr>
                <w:rFonts w:ascii="Arial" w:hAnsi="Arial" w:cs="Arial"/>
              </w:rPr>
              <w:t xml:space="preserve"> and basic immigration law.</w:t>
            </w:r>
          </w:p>
          <w:p w:rsidR="00C61118" w:rsidRDefault="005C1D13" w:rsidP="00D671B4">
            <w:pPr>
              <w:numPr>
                <w:ilvl w:val="0"/>
                <w:numId w:val="6"/>
              </w:numPr>
              <w:spacing w:before="40" w:after="4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</w:t>
            </w:r>
            <w:r w:rsidR="00C61118">
              <w:rPr>
                <w:rFonts w:ascii="Arial" w:hAnsi="Arial" w:cs="Arial"/>
              </w:rPr>
              <w:t xml:space="preserve">nowledge </w:t>
            </w:r>
            <w:r w:rsidR="00D671B4">
              <w:rPr>
                <w:rFonts w:ascii="Arial" w:hAnsi="Arial" w:cs="Arial"/>
              </w:rPr>
              <w:t>of Microsoft software and related packages</w:t>
            </w:r>
            <w:r w:rsidR="00C61118">
              <w:rPr>
                <w:rFonts w:ascii="Arial" w:hAnsi="Arial" w:cs="Arial"/>
              </w:rPr>
              <w:t>.</w:t>
            </w:r>
          </w:p>
        </w:tc>
      </w:tr>
      <w:tr w:rsidR="00C61118" w:rsidTr="004A6AFA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8" w:rsidRDefault="00C61118" w:rsidP="00C61118">
            <w:pPr>
              <w:pStyle w:val="Heading4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18" w:rsidRPr="00D671B4" w:rsidRDefault="00A6143A" w:rsidP="00D671B4">
            <w:pPr>
              <w:numPr>
                <w:ilvl w:val="0"/>
                <w:numId w:val="6"/>
              </w:numPr>
              <w:spacing w:before="40" w:after="4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travel within the local CAB area and elsewhere, as required</w:t>
            </w:r>
            <w:r w:rsidR="00C61118" w:rsidRPr="00D671B4">
              <w:rPr>
                <w:rFonts w:ascii="Arial" w:hAnsi="Arial" w:cs="Arial"/>
              </w:rPr>
              <w:t>.</w:t>
            </w:r>
          </w:p>
        </w:tc>
      </w:tr>
    </w:tbl>
    <w:p w:rsidR="003160EF" w:rsidRDefault="003160EF">
      <w:pPr>
        <w:rPr>
          <w:rFonts w:ascii="Arial" w:hAnsi="Arial" w:cs="Arial"/>
        </w:rPr>
      </w:pPr>
    </w:p>
    <w:p w:rsidR="003160EF" w:rsidRDefault="003160EF">
      <w:pPr>
        <w:rPr>
          <w:rFonts w:ascii="Arial" w:hAnsi="Arial" w:cs="Arial"/>
        </w:rPr>
      </w:pPr>
      <w:bookmarkStart w:id="0" w:name="_GoBack"/>
      <w:bookmarkEnd w:id="0"/>
    </w:p>
    <w:sectPr w:rsidR="003160EF" w:rsidSect="00DB3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91" w:bottom="1440" w:left="1191" w:header="1701" w:footer="79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1F" w:rsidRDefault="0079181F" w:rsidP="00386D18">
      <w:r>
        <w:separator/>
      </w:r>
    </w:p>
  </w:endnote>
  <w:endnote w:type="continuationSeparator" w:id="0">
    <w:p w:rsidR="0079181F" w:rsidRDefault="0079181F" w:rsidP="0038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 Narrow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8" w:rsidRDefault="00386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8" w:rsidRDefault="00386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8" w:rsidRDefault="00386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1F" w:rsidRDefault="0079181F" w:rsidP="00386D18">
      <w:r>
        <w:separator/>
      </w:r>
    </w:p>
  </w:footnote>
  <w:footnote w:type="continuationSeparator" w:id="0">
    <w:p w:rsidR="0079181F" w:rsidRDefault="0079181F" w:rsidP="0038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8" w:rsidRDefault="00386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8" w:rsidRDefault="00386D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8" w:rsidRDefault="00386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1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04435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1F1221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2FFE63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438217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470130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4ADE7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602C3F49"/>
    <w:multiLevelType w:val="hybridMultilevel"/>
    <w:tmpl w:val="0D20E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878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6BCE0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="Times New Roman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4"/>
    <w:rsid w:val="000362A3"/>
    <w:rsid w:val="00094000"/>
    <w:rsid w:val="00152D78"/>
    <w:rsid w:val="0018611B"/>
    <w:rsid w:val="001B306B"/>
    <w:rsid w:val="002042AE"/>
    <w:rsid w:val="00221861"/>
    <w:rsid w:val="003160EF"/>
    <w:rsid w:val="003509D2"/>
    <w:rsid w:val="00386D18"/>
    <w:rsid w:val="003C1F9D"/>
    <w:rsid w:val="00421EEE"/>
    <w:rsid w:val="004610B1"/>
    <w:rsid w:val="004A6AFA"/>
    <w:rsid w:val="00505689"/>
    <w:rsid w:val="005C1D13"/>
    <w:rsid w:val="005F555C"/>
    <w:rsid w:val="006325C6"/>
    <w:rsid w:val="00674F93"/>
    <w:rsid w:val="0079181F"/>
    <w:rsid w:val="007A5B40"/>
    <w:rsid w:val="00914EEB"/>
    <w:rsid w:val="00917962"/>
    <w:rsid w:val="00A01E67"/>
    <w:rsid w:val="00A34286"/>
    <w:rsid w:val="00A538DC"/>
    <w:rsid w:val="00A6143A"/>
    <w:rsid w:val="00B36414"/>
    <w:rsid w:val="00BB302A"/>
    <w:rsid w:val="00BB44E1"/>
    <w:rsid w:val="00BE56A3"/>
    <w:rsid w:val="00C164AF"/>
    <w:rsid w:val="00C61118"/>
    <w:rsid w:val="00C84982"/>
    <w:rsid w:val="00D20139"/>
    <w:rsid w:val="00D46A14"/>
    <w:rsid w:val="00D671B4"/>
    <w:rsid w:val="00DB3155"/>
    <w:rsid w:val="00DB4FAE"/>
    <w:rsid w:val="00DC19D7"/>
    <w:rsid w:val="00DC4A62"/>
    <w:rsid w:val="00E94ABB"/>
    <w:rsid w:val="00F50C03"/>
    <w:rsid w:val="00F642CA"/>
    <w:rsid w:val="00F671F2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86D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6D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86D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86D18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74F93"/>
    <w:rPr>
      <w:rFonts w:ascii="Arial" w:eastAsia="Calibri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DB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31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86D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6D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86D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86D18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74F93"/>
    <w:rPr>
      <w:rFonts w:ascii="Arial" w:eastAsia="Calibri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DB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31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 ADVICE BUREAU</vt:lpstr>
    </vt:vector>
  </TitlesOfParts>
  <Company>cashq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 ADVICE BUREAU</dc:title>
  <dc:creator>James Igoe</dc:creator>
  <cp:lastModifiedBy>Karen Pryor</cp:lastModifiedBy>
  <cp:revision>3</cp:revision>
  <cp:lastPrinted>2019-02-27T14:15:00Z</cp:lastPrinted>
  <dcterms:created xsi:type="dcterms:W3CDTF">2019-05-20T11:08:00Z</dcterms:created>
  <dcterms:modified xsi:type="dcterms:W3CDTF">2019-05-20T11:08:00Z</dcterms:modified>
</cp:coreProperties>
</file>