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4C63E" w14:textId="5BA330AE" w:rsidR="00010E3C" w:rsidRDefault="00010E3C" w:rsidP="147054AD">
      <w:pPr>
        <w:rPr>
          <w:rFonts w:ascii="Tahoma" w:hAnsi="Tahoma" w:cs="Tahoma"/>
          <w:b/>
          <w:bCs/>
          <w:color w:val="003E82"/>
          <w:sz w:val="34"/>
          <w:szCs w:val="34"/>
        </w:rPr>
      </w:pPr>
      <w:r w:rsidRPr="147054AD">
        <w:rPr>
          <w:rFonts w:ascii="Tahoma" w:hAnsi="Tahoma" w:cs="Tahoma"/>
          <w:b/>
          <w:bCs/>
          <w:color w:val="003E82"/>
          <w:sz w:val="34"/>
          <w:szCs w:val="34"/>
        </w:rPr>
        <w:t>Prepayment meter rules and protections for domestic consumers: a call for evidence</w:t>
      </w:r>
    </w:p>
    <w:p w14:paraId="6AD7AF6B" w14:textId="190C75C8" w:rsidR="009E61E1" w:rsidRPr="0080049A" w:rsidRDefault="00010E3C" w:rsidP="00010E3C">
      <w:pPr>
        <w:rPr>
          <w:rFonts w:ascii="Tahoma" w:hAnsi="Tahoma" w:cs="Tahoma"/>
          <w:b/>
          <w:color w:val="008D9B"/>
          <w:sz w:val="34"/>
          <w:szCs w:val="34"/>
        </w:rPr>
      </w:pPr>
      <w:r>
        <w:rPr>
          <w:rFonts w:ascii="Tahoma" w:hAnsi="Tahoma" w:cs="Tahoma"/>
          <w:b/>
          <w:color w:val="008D9B"/>
          <w:sz w:val="34"/>
          <w:szCs w:val="34"/>
        </w:rPr>
        <w:t>Citizens Advice Scotland response</w:t>
      </w:r>
    </w:p>
    <w:p w14:paraId="6F719780" w14:textId="77777777" w:rsidR="003556A0" w:rsidRPr="0080049A" w:rsidRDefault="003556A0" w:rsidP="00CA57CF">
      <w:pPr>
        <w:ind w:right="418"/>
        <w:rPr>
          <w:rFonts w:ascii="Tahoma" w:hAnsi="Tahoma" w:cs="Tahoma"/>
          <w:sz w:val="22"/>
          <w:szCs w:val="22"/>
        </w:rPr>
      </w:pPr>
    </w:p>
    <w:p w14:paraId="73CDFE9C" w14:textId="77777777" w:rsidR="004C5EC2" w:rsidRPr="0080049A" w:rsidRDefault="004C5EC2" w:rsidP="00CA57CF">
      <w:pPr>
        <w:ind w:right="418"/>
        <w:rPr>
          <w:rFonts w:ascii="Tahoma" w:hAnsi="Tahoma" w:cs="Tahoma"/>
          <w:sz w:val="22"/>
          <w:szCs w:val="22"/>
        </w:rPr>
      </w:pPr>
      <w:r w:rsidRPr="0080049A">
        <w:rPr>
          <w:rFonts w:ascii="Tahoma" w:hAnsi="Tahoma" w:cs="Tahoma"/>
          <w:noProof/>
          <w:lang w:eastAsia="en-GB"/>
        </w:rPr>
        <mc:AlternateContent>
          <mc:Choice Requires="wps">
            <w:drawing>
              <wp:anchor distT="0" distB="0" distL="114300" distR="114300" simplePos="0" relativeHeight="251658240" behindDoc="0" locked="0" layoutInCell="1" allowOverlap="1" wp14:anchorId="76D251A0" wp14:editId="7D924E00">
                <wp:simplePos x="0" y="0"/>
                <wp:positionH relativeFrom="column">
                  <wp:posOffset>-15240</wp:posOffset>
                </wp:positionH>
                <wp:positionV relativeFrom="paragraph">
                  <wp:posOffset>102870</wp:posOffset>
                </wp:positionV>
                <wp:extent cx="571500" cy="0"/>
                <wp:effectExtent l="0" t="19050" r="0" b="19050"/>
                <wp:wrapNone/>
                <wp:docPr id="8" name="Straight Connector 8"/>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26B3CD9" id="Straight Connector 8"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1pt" to="43.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BAuong2gAAAAcB&#10;AAAPAAAAZHJzL2Rvd25yZXYueG1sTI7fToMwFMbvTXyH5ph4txVxwQUpy7JEvTFZBB/gQCsQ21Ns&#10;C8M9vV280MvvT77vV+wWo9msnB8sCbhbJ8AUtVYO1Al4r59WW2A+IEnUlpSAb+VhV15fFZhLe6I3&#10;NVehY3GEfI4C+hDGnHPf9sqgX9tRUcw+rDMYonQdlw5PcdxoniZJxg0OFB96HNWhV+1nNRkBh/vn&#10;1/rYvEzVfjMjd/r8RedaiNubZf8ILKgl/JXhgh/RoYxMjZ1IeqYFrNJNbEY/S4HFfPuQAWt+NS8L&#10;/p+//AEAAP//AwBQSwECLQAUAAYACAAAACEAtoM4kv4AAADhAQAAEwAAAAAAAAAAAAAAAAAAAAAA&#10;W0NvbnRlbnRfVHlwZXNdLnhtbFBLAQItABQABgAIAAAAIQA4/SH/1gAAAJQBAAALAAAAAAAAAAAA&#10;AAAAAC8BAABfcmVscy8ucmVsc1BLAQItABQABgAIAAAAIQB1q01ayQEAAPcDAAAOAAAAAAAAAAAA&#10;AAAAAC4CAABkcnMvZTJvRG9jLnhtbFBLAQItABQABgAIAAAAIQBAuong2gAAAAcBAAAPAAAAAAAA&#10;AAAAAAAAACMEAABkcnMvZG93bnJldi54bWxQSwUGAAAAAAQABADzAAAAKgUAAAAA&#10;" strokecolor="#003e82" strokeweight="3pt"/>
            </w:pict>
          </mc:Fallback>
        </mc:AlternateContent>
      </w:r>
    </w:p>
    <w:p w14:paraId="40ADA347" w14:textId="77777777" w:rsidR="004C5EC2" w:rsidRPr="00372617" w:rsidRDefault="004C5EC2" w:rsidP="00CA57CF">
      <w:pPr>
        <w:ind w:right="418"/>
        <w:rPr>
          <w:rFonts w:ascii="Tahoma" w:hAnsi="Tahoma" w:cs="Tahoma"/>
        </w:rPr>
      </w:pPr>
    </w:p>
    <w:p w14:paraId="24D643AD" w14:textId="1DF2E96D"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 xml:space="preserve">Citizens Advice Scotland (CAS), our 59-member Citizen Advice Bureaux (CAB) and the Extra Help Unit, form Scotland’s largest independent advice network. Scotland’s Citizens Advice Network is an essential community service that empowers people through our local bureaux and national services by providing free, </w:t>
      </w:r>
      <w:proofErr w:type="gramStart"/>
      <w:r w:rsidRPr="003B79EF">
        <w:rPr>
          <w:rFonts w:ascii="Tahoma" w:hAnsi="Tahoma" w:cs="Tahoma"/>
          <w:sz w:val="22"/>
          <w:szCs w:val="22"/>
        </w:rPr>
        <w:t>confidential</w:t>
      </w:r>
      <w:proofErr w:type="gramEnd"/>
      <w:r w:rsidRPr="003B79EF">
        <w:rPr>
          <w:rFonts w:ascii="Tahoma" w:hAnsi="Tahoma" w:cs="Tahoma"/>
          <w:sz w:val="22"/>
          <w:szCs w:val="22"/>
        </w:rPr>
        <w:t xml:space="preserve"> and independent advice. We use people’s real-life experiences to influence policy and drive positive change. We are on the side of people in Scotland who need help and we change lives for the better. </w:t>
      </w:r>
    </w:p>
    <w:p w14:paraId="32352F86" w14:textId="18C6E786"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During 2020-21, the entire Citizens Advice network provided advice and assistance to over 171,000 individuals; this equates to one in every 26 adults living in Scotland. The network put almost £147 million back into people’s pockets during this time, with every £1 invested in core advice funding returning £14 in gains for people. Our extensive footprint is important in helping us understand how issues impact locally and nationally across the country and the different impacts that policies can have in different areas.  </w:t>
      </w:r>
    </w:p>
    <w:p w14:paraId="3D6CE7BE"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b/>
          <w:bCs/>
          <w:sz w:val="22"/>
          <w:szCs w:val="22"/>
        </w:rPr>
        <w:t>Our data</w:t>
      </w:r>
      <w:r w:rsidRPr="003B79EF">
        <w:rPr>
          <w:rFonts w:ascii="Tahoma" w:hAnsi="Tahoma" w:cs="Tahoma"/>
          <w:sz w:val="22"/>
          <w:szCs w:val="22"/>
        </w:rPr>
        <w:t> </w:t>
      </w:r>
    </w:p>
    <w:p w14:paraId="2DFCB902" w14:textId="77777777" w:rsidR="003B79EF" w:rsidRDefault="003B79EF" w:rsidP="00C87930">
      <w:pPr>
        <w:pStyle w:val="ListParagraph"/>
        <w:numPr>
          <w:ilvl w:val="0"/>
          <w:numId w:val="42"/>
        </w:numPr>
        <w:spacing w:afterLines="50" w:after="120"/>
        <w:ind w:left="567" w:right="420" w:hanging="357"/>
        <w:contextualSpacing w:val="0"/>
        <w:rPr>
          <w:rFonts w:ascii="Tahoma" w:hAnsi="Tahoma" w:cs="Tahoma"/>
          <w:sz w:val="22"/>
          <w:szCs w:val="22"/>
        </w:rPr>
      </w:pPr>
      <w:r w:rsidRPr="003B79EF">
        <w:rPr>
          <w:rFonts w:ascii="Tahoma" w:hAnsi="Tahoma" w:cs="Tahoma"/>
          <w:sz w:val="22"/>
          <w:szCs w:val="22"/>
        </w:rPr>
        <w:t>Prepayment meter (PPM) advice over time has both increased as a proportion of Regulated Fuel advice, as well as advice overall.  </w:t>
      </w:r>
    </w:p>
    <w:p w14:paraId="69C69C5E" w14:textId="77777777" w:rsidR="003B79EF" w:rsidRDefault="003B79EF" w:rsidP="00C87930">
      <w:pPr>
        <w:pStyle w:val="ListParagraph"/>
        <w:numPr>
          <w:ilvl w:val="0"/>
          <w:numId w:val="42"/>
        </w:numPr>
        <w:spacing w:afterLines="50" w:after="120"/>
        <w:ind w:left="567" w:right="420" w:hanging="357"/>
        <w:contextualSpacing w:val="0"/>
        <w:rPr>
          <w:rFonts w:ascii="Tahoma" w:hAnsi="Tahoma" w:cs="Tahoma"/>
          <w:sz w:val="22"/>
          <w:szCs w:val="22"/>
        </w:rPr>
      </w:pPr>
      <w:r w:rsidRPr="003B79EF">
        <w:rPr>
          <w:rFonts w:ascii="Tahoma" w:hAnsi="Tahoma" w:cs="Tahoma"/>
          <w:sz w:val="22"/>
          <w:szCs w:val="22"/>
        </w:rPr>
        <w:t>In December 2022 and January 2023, demand for energy advice across the Citizens Advice network overtook advice for Universal Credit and other benefits for the first time ever. A significant proportion of this advice relates to PPMs.  </w:t>
      </w:r>
    </w:p>
    <w:p w14:paraId="2C045385" w14:textId="77777777" w:rsidR="003B79EF" w:rsidRDefault="003B79EF" w:rsidP="00C87930">
      <w:pPr>
        <w:pStyle w:val="ListParagraph"/>
        <w:numPr>
          <w:ilvl w:val="0"/>
          <w:numId w:val="42"/>
        </w:numPr>
        <w:spacing w:afterLines="50" w:after="120"/>
        <w:ind w:left="567" w:right="420" w:hanging="357"/>
        <w:contextualSpacing w:val="0"/>
        <w:rPr>
          <w:rFonts w:ascii="Tahoma" w:hAnsi="Tahoma" w:cs="Tahoma"/>
          <w:sz w:val="22"/>
          <w:szCs w:val="22"/>
        </w:rPr>
      </w:pPr>
      <w:r w:rsidRPr="003B79EF">
        <w:rPr>
          <w:rFonts w:ascii="Tahoma" w:hAnsi="Tahoma" w:cs="Tahoma"/>
          <w:sz w:val="22"/>
          <w:szCs w:val="22"/>
        </w:rPr>
        <w:t>PPM advice in Q3 2021/2022 made up 11% of all Utilities and communications advice compared to 8% in Q3 2020/21 and 6% in Q3 2019/20.  </w:t>
      </w:r>
    </w:p>
    <w:p w14:paraId="6B231858" w14:textId="1822E7A6" w:rsidR="003B79EF" w:rsidRPr="003B79EF" w:rsidRDefault="003B79EF" w:rsidP="00C87930">
      <w:pPr>
        <w:pStyle w:val="ListParagraph"/>
        <w:numPr>
          <w:ilvl w:val="0"/>
          <w:numId w:val="42"/>
        </w:numPr>
        <w:spacing w:afterLines="50" w:after="120"/>
        <w:ind w:left="567" w:right="420" w:hanging="357"/>
        <w:contextualSpacing w:val="0"/>
        <w:rPr>
          <w:rFonts w:ascii="Tahoma" w:hAnsi="Tahoma" w:cs="Tahoma"/>
          <w:sz w:val="22"/>
          <w:szCs w:val="22"/>
        </w:rPr>
      </w:pPr>
      <w:r w:rsidRPr="003B79EF">
        <w:rPr>
          <w:rFonts w:ascii="Tahoma" w:hAnsi="Tahoma" w:cs="Tahoma"/>
          <w:sz w:val="22"/>
          <w:szCs w:val="22"/>
        </w:rPr>
        <w:t>Nearly half of PPM clients (48%) received Benefits advice.  </w:t>
      </w:r>
    </w:p>
    <w:p w14:paraId="1EEB091A" w14:textId="592E9551" w:rsidR="003B79EF" w:rsidRPr="003B79EF" w:rsidRDefault="003B79EF" w:rsidP="00C87930">
      <w:pPr>
        <w:numPr>
          <w:ilvl w:val="0"/>
          <w:numId w:val="37"/>
        </w:numPr>
        <w:tabs>
          <w:tab w:val="clear" w:pos="720"/>
          <w:tab w:val="num" w:pos="1276"/>
        </w:tabs>
        <w:spacing w:afterLines="50" w:after="120"/>
        <w:ind w:left="1276" w:right="420" w:hanging="357"/>
        <w:rPr>
          <w:rFonts w:ascii="Tahoma" w:hAnsi="Tahoma" w:cs="Tahoma"/>
          <w:sz w:val="22"/>
          <w:szCs w:val="22"/>
        </w:rPr>
      </w:pPr>
      <w:r w:rsidRPr="003B79EF">
        <w:rPr>
          <w:rFonts w:ascii="Tahoma" w:hAnsi="Tahoma" w:cs="Tahoma"/>
          <w:sz w:val="22"/>
          <w:szCs w:val="22"/>
        </w:rPr>
        <w:t>20% sought advice on Universal Credit.  </w:t>
      </w:r>
    </w:p>
    <w:p w14:paraId="39C8FAC5" w14:textId="686220BA" w:rsidR="003B79EF" w:rsidRPr="003B79EF" w:rsidRDefault="003B79EF" w:rsidP="00C87930">
      <w:pPr>
        <w:numPr>
          <w:ilvl w:val="0"/>
          <w:numId w:val="37"/>
        </w:numPr>
        <w:tabs>
          <w:tab w:val="clear" w:pos="720"/>
          <w:tab w:val="num" w:pos="1276"/>
        </w:tabs>
        <w:spacing w:afterLines="50" w:after="120"/>
        <w:ind w:left="1276" w:right="420" w:hanging="357"/>
        <w:rPr>
          <w:rFonts w:ascii="Tahoma" w:hAnsi="Tahoma" w:cs="Tahoma"/>
          <w:sz w:val="22"/>
          <w:szCs w:val="22"/>
        </w:rPr>
      </w:pPr>
      <w:r w:rsidRPr="003B79EF">
        <w:rPr>
          <w:rFonts w:ascii="Tahoma" w:hAnsi="Tahoma" w:cs="Tahoma"/>
          <w:sz w:val="22"/>
          <w:szCs w:val="22"/>
        </w:rPr>
        <w:t>15% sought advice on the Scottish Welfare Fund</w:t>
      </w:r>
      <w:r w:rsidR="00010E3C">
        <w:rPr>
          <w:rStyle w:val="FootnoteReference"/>
          <w:rFonts w:ascii="Tahoma" w:hAnsi="Tahoma" w:cs="Tahoma"/>
          <w:sz w:val="22"/>
          <w:szCs w:val="22"/>
        </w:rPr>
        <w:footnoteReference w:id="2"/>
      </w:r>
      <w:r w:rsidRPr="003B79EF">
        <w:rPr>
          <w:rFonts w:ascii="Tahoma" w:hAnsi="Tahoma" w:cs="Tahoma"/>
          <w:sz w:val="22"/>
          <w:szCs w:val="22"/>
        </w:rPr>
        <w:t>.  </w:t>
      </w:r>
    </w:p>
    <w:p w14:paraId="6E49269D" w14:textId="77777777" w:rsidR="003B79EF" w:rsidRPr="003B79EF" w:rsidRDefault="003B79EF" w:rsidP="00C87930">
      <w:pPr>
        <w:numPr>
          <w:ilvl w:val="0"/>
          <w:numId w:val="37"/>
        </w:numPr>
        <w:tabs>
          <w:tab w:val="clear" w:pos="720"/>
          <w:tab w:val="num" w:pos="1276"/>
        </w:tabs>
        <w:spacing w:afterLines="50" w:after="120"/>
        <w:ind w:left="1276" w:right="420" w:hanging="357"/>
        <w:rPr>
          <w:rFonts w:ascii="Tahoma" w:hAnsi="Tahoma" w:cs="Tahoma"/>
          <w:sz w:val="22"/>
          <w:szCs w:val="22"/>
        </w:rPr>
      </w:pPr>
      <w:r w:rsidRPr="003B79EF">
        <w:rPr>
          <w:rFonts w:ascii="Tahoma" w:hAnsi="Tahoma" w:cs="Tahoma"/>
          <w:sz w:val="22"/>
          <w:szCs w:val="22"/>
        </w:rPr>
        <w:t>11% sought advice on Personal Independence Payment.  </w:t>
      </w:r>
    </w:p>
    <w:p w14:paraId="2C107C1B" w14:textId="77777777" w:rsidR="003B79EF" w:rsidRDefault="003B79EF" w:rsidP="00C87930">
      <w:pPr>
        <w:numPr>
          <w:ilvl w:val="0"/>
          <w:numId w:val="43"/>
        </w:numPr>
        <w:spacing w:afterLines="50" w:after="120"/>
        <w:ind w:left="567" w:right="420" w:hanging="357"/>
        <w:rPr>
          <w:rFonts w:ascii="Tahoma" w:hAnsi="Tahoma" w:cs="Tahoma"/>
          <w:sz w:val="22"/>
          <w:szCs w:val="22"/>
        </w:rPr>
      </w:pPr>
      <w:r w:rsidRPr="003B79EF">
        <w:rPr>
          <w:rFonts w:ascii="Tahoma" w:hAnsi="Tahoma" w:cs="Tahoma"/>
          <w:sz w:val="22"/>
          <w:szCs w:val="22"/>
        </w:rPr>
        <w:t>At least a quarter of PPM clients received Food Bank advice: 28% of PPM clients are primarily getting referrals to food banks and an entitlement check. </w:t>
      </w:r>
    </w:p>
    <w:p w14:paraId="53C28F6C" w14:textId="690626EF" w:rsidR="003B79EF" w:rsidRPr="003B79EF" w:rsidRDefault="003B79EF" w:rsidP="00C87930">
      <w:pPr>
        <w:numPr>
          <w:ilvl w:val="0"/>
          <w:numId w:val="43"/>
        </w:numPr>
        <w:spacing w:afterLines="50" w:after="120"/>
        <w:ind w:left="567" w:right="420" w:hanging="357"/>
        <w:rPr>
          <w:rFonts w:ascii="Tahoma" w:hAnsi="Tahoma" w:cs="Tahoma"/>
          <w:sz w:val="22"/>
          <w:szCs w:val="22"/>
        </w:rPr>
      </w:pPr>
      <w:r w:rsidRPr="003B79EF">
        <w:rPr>
          <w:rFonts w:ascii="Tahoma" w:hAnsi="Tahoma" w:cs="Tahoma"/>
          <w:sz w:val="22"/>
          <w:szCs w:val="22"/>
        </w:rPr>
        <w:t>From a demographic point of view, clients visiting bureaux for advice on prepayment meters across 2022/23:   </w:t>
      </w:r>
    </w:p>
    <w:p w14:paraId="6A05152C" w14:textId="77777777" w:rsidR="003B79EF" w:rsidRPr="003B79EF" w:rsidRDefault="003B79EF" w:rsidP="00C87930">
      <w:pPr>
        <w:numPr>
          <w:ilvl w:val="0"/>
          <w:numId w:val="38"/>
        </w:numPr>
        <w:tabs>
          <w:tab w:val="clear" w:pos="720"/>
          <w:tab w:val="num" w:pos="1276"/>
        </w:tabs>
        <w:spacing w:afterLines="50" w:after="120"/>
        <w:ind w:left="1276" w:right="420" w:hanging="357"/>
        <w:rPr>
          <w:rFonts w:ascii="Tahoma" w:hAnsi="Tahoma" w:cs="Tahoma"/>
          <w:sz w:val="22"/>
          <w:szCs w:val="22"/>
        </w:rPr>
      </w:pPr>
      <w:r w:rsidRPr="003B79EF">
        <w:rPr>
          <w:rFonts w:ascii="Tahoma" w:hAnsi="Tahoma" w:cs="Tahoma"/>
          <w:sz w:val="22"/>
          <w:szCs w:val="22"/>
        </w:rPr>
        <w:t>mostly live in SIMD categories 1, 2 and 3 (most deprived): in 2022/23 48.5% of clients seeking general advice on prepayment meters were in SIMD category 1, 26% in category 2 and 15% in category 3.  </w:t>
      </w:r>
    </w:p>
    <w:p w14:paraId="600A2B40" w14:textId="6B07F27B" w:rsidR="003B79EF" w:rsidRPr="003B79EF" w:rsidRDefault="003B79EF" w:rsidP="00C87930">
      <w:pPr>
        <w:numPr>
          <w:ilvl w:val="0"/>
          <w:numId w:val="38"/>
        </w:numPr>
        <w:tabs>
          <w:tab w:val="clear" w:pos="720"/>
          <w:tab w:val="num" w:pos="1276"/>
        </w:tabs>
        <w:spacing w:afterLines="50" w:after="120"/>
        <w:ind w:left="1276" w:right="420" w:hanging="357"/>
        <w:rPr>
          <w:rFonts w:ascii="Tahoma" w:hAnsi="Tahoma" w:cs="Tahoma"/>
          <w:sz w:val="22"/>
          <w:szCs w:val="22"/>
        </w:rPr>
      </w:pPr>
      <w:r w:rsidRPr="003B79EF">
        <w:rPr>
          <w:rFonts w:ascii="Tahoma" w:hAnsi="Tahoma" w:cs="Tahoma"/>
          <w:sz w:val="22"/>
          <w:szCs w:val="22"/>
        </w:rPr>
        <w:lastRenderedPageBreak/>
        <w:t xml:space="preserve">are mostly of working age: 70.5% of clients seeking prepayment meter advice were </w:t>
      </w:r>
      <w:r w:rsidR="00F10193">
        <w:rPr>
          <w:rFonts w:ascii="Tahoma" w:hAnsi="Tahoma" w:cs="Tahoma"/>
          <w:sz w:val="22"/>
          <w:szCs w:val="22"/>
        </w:rPr>
        <w:t xml:space="preserve">aged </w:t>
      </w:r>
      <w:r w:rsidRPr="003B79EF">
        <w:rPr>
          <w:rFonts w:ascii="Tahoma" w:hAnsi="Tahoma" w:cs="Tahoma"/>
          <w:sz w:val="22"/>
          <w:szCs w:val="22"/>
        </w:rPr>
        <w:t>between 25-59. Q3 2022/23 showed a 20% increase in pieces of advice given to adult families (non-pensioner, no dependents) compared to Q3 2021/22 and an increase in pieces of advice given to single pensioners of 71%.  </w:t>
      </w:r>
    </w:p>
    <w:p w14:paraId="012A102B" w14:textId="4ECFEB4C" w:rsidR="003B79EF" w:rsidRPr="003B79EF" w:rsidRDefault="003B79EF" w:rsidP="00C87930">
      <w:pPr>
        <w:numPr>
          <w:ilvl w:val="0"/>
          <w:numId w:val="38"/>
        </w:numPr>
        <w:tabs>
          <w:tab w:val="clear" w:pos="720"/>
          <w:tab w:val="num" w:pos="1276"/>
        </w:tabs>
        <w:spacing w:afterLines="50" w:after="120"/>
        <w:ind w:left="1276" w:right="420" w:hanging="357"/>
        <w:rPr>
          <w:rFonts w:ascii="Tahoma" w:hAnsi="Tahoma" w:cs="Tahoma"/>
          <w:sz w:val="22"/>
          <w:szCs w:val="22"/>
        </w:rPr>
      </w:pPr>
      <w:r w:rsidRPr="003B79EF">
        <w:rPr>
          <w:rFonts w:ascii="Tahoma" w:hAnsi="Tahoma" w:cs="Tahoma"/>
          <w:sz w:val="22"/>
          <w:szCs w:val="22"/>
        </w:rPr>
        <w:t>the proportion of people working 30 or more hours per week receiving advice on PPMs was 5%, while 31% of clients were unable to work due to ill health/disability</w:t>
      </w:r>
      <w:r w:rsidR="006C5D43">
        <w:rPr>
          <w:rStyle w:val="FootnoteReference"/>
          <w:rFonts w:ascii="Tahoma" w:hAnsi="Tahoma" w:cs="Tahoma"/>
          <w:sz w:val="22"/>
          <w:szCs w:val="22"/>
        </w:rPr>
        <w:footnoteReference w:id="3"/>
      </w:r>
      <w:r w:rsidRPr="003B79EF">
        <w:rPr>
          <w:rFonts w:ascii="Tahoma" w:hAnsi="Tahoma" w:cs="Tahoma"/>
          <w:sz w:val="22"/>
          <w:szCs w:val="22"/>
        </w:rPr>
        <w:t>.  </w:t>
      </w:r>
    </w:p>
    <w:p w14:paraId="45BAF3E6" w14:textId="77777777" w:rsidR="003B79EF" w:rsidRPr="003B79EF" w:rsidRDefault="003B79EF" w:rsidP="00C87930">
      <w:pPr>
        <w:numPr>
          <w:ilvl w:val="0"/>
          <w:numId w:val="44"/>
        </w:numPr>
        <w:spacing w:afterLines="50" w:after="120"/>
        <w:ind w:left="567" w:right="420" w:hanging="357"/>
        <w:rPr>
          <w:rFonts w:ascii="Tahoma" w:hAnsi="Tahoma" w:cs="Tahoma"/>
          <w:sz w:val="22"/>
          <w:szCs w:val="22"/>
        </w:rPr>
      </w:pPr>
      <w:r w:rsidRPr="003B79EF">
        <w:rPr>
          <w:rFonts w:ascii="Tahoma" w:hAnsi="Tahoma" w:cs="Tahoma"/>
          <w:sz w:val="22"/>
          <w:szCs w:val="22"/>
        </w:rPr>
        <w:t xml:space="preserve">On our public advice pages, UPVs (unique page views) for </w:t>
      </w:r>
      <w:r w:rsidRPr="003B79EF">
        <w:rPr>
          <w:rFonts w:ascii="Tahoma" w:hAnsi="Tahoma" w:cs="Tahoma"/>
          <w:i/>
          <w:iCs/>
          <w:sz w:val="22"/>
          <w:szCs w:val="22"/>
        </w:rPr>
        <w:t>get-help-paying-your-bills/you-</w:t>
      </w:r>
      <w:proofErr w:type="gramStart"/>
      <w:r w:rsidRPr="003B79EF">
        <w:rPr>
          <w:rFonts w:ascii="Tahoma" w:hAnsi="Tahoma" w:cs="Tahoma"/>
          <w:i/>
          <w:iCs/>
          <w:sz w:val="22"/>
          <w:szCs w:val="22"/>
        </w:rPr>
        <w:t>cant</w:t>
      </w:r>
      <w:proofErr w:type="gramEnd"/>
      <w:r w:rsidRPr="003B79EF">
        <w:rPr>
          <w:rFonts w:ascii="Tahoma" w:hAnsi="Tahoma" w:cs="Tahoma"/>
          <w:i/>
          <w:iCs/>
          <w:sz w:val="22"/>
          <w:szCs w:val="22"/>
        </w:rPr>
        <w:t>-afford-to-top-up-your-prepayment-meter/</w:t>
      </w:r>
      <w:r w:rsidRPr="003B79EF">
        <w:rPr>
          <w:rFonts w:ascii="Tahoma" w:hAnsi="Tahoma" w:cs="Tahoma"/>
          <w:sz w:val="22"/>
          <w:szCs w:val="22"/>
        </w:rPr>
        <w:t xml:space="preserve"> were viewed 2,339 times in 2019/20, 3,781 times in 2020/21 and 2,880 times in 2021/22. UPVs for this page for 2022/23 so far are 4,322 – more than the previous three years combined.  </w:t>
      </w:r>
    </w:p>
    <w:p w14:paraId="302B93D3" w14:textId="77777777" w:rsidR="003B79EF" w:rsidRPr="003B79EF" w:rsidRDefault="003B79EF" w:rsidP="00C87930">
      <w:pPr>
        <w:numPr>
          <w:ilvl w:val="0"/>
          <w:numId w:val="44"/>
        </w:numPr>
        <w:spacing w:afterLines="50" w:after="120"/>
        <w:ind w:left="567" w:right="420" w:hanging="357"/>
        <w:rPr>
          <w:rFonts w:ascii="Tahoma" w:hAnsi="Tahoma" w:cs="Tahoma"/>
          <w:sz w:val="22"/>
          <w:szCs w:val="22"/>
        </w:rPr>
      </w:pPr>
      <w:r w:rsidRPr="003B79EF">
        <w:rPr>
          <w:rFonts w:ascii="Tahoma" w:hAnsi="Tahoma" w:cs="Tahoma"/>
          <w:sz w:val="22"/>
          <w:szCs w:val="22"/>
        </w:rPr>
        <w:t xml:space="preserve">UPVs for </w:t>
      </w:r>
      <w:r w:rsidRPr="003B79EF">
        <w:rPr>
          <w:rFonts w:ascii="Tahoma" w:hAnsi="Tahoma" w:cs="Tahoma"/>
          <w:i/>
          <w:iCs/>
          <w:sz w:val="22"/>
          <w:szCs w:val="22"/>
        </w:rPr>
        <w:t>get-help-paying-your-bills/stop-your-energy-supplier-installing-a-prepayment-meter/</w:t>
      </w:r>
      <w:r w:rsidRPr="003B79EF">
        <w:rPr>
          <w:rFonts w:ascii="Tahoma" w:hAnsi="Tahoma" w:cs="Tahoma"/>
          <w:sz w:val="22"/>
          <w:szCs w:val="22"/>
        </w:rPr>
        <w:t xml:space="preserve"> increased over the last three years from in 169 in 2019/20 to 372 in 2021/22. UPVs for this page in 2022/23 so far have surpassed the previous three years combined – 650 UPVs. </w:t>
      </w:r>
    </w:p>
    <w:p w14:paraId="3EDD560F"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 xml:space="preserve">Throughout our response are examples of clients who have experienced detriment or financial hardship </w:t>
      </w:r>
      <w:proofErr w:type="gramStart"/>
      <w:r w:rsidRPr="003B79EF">
        <w:rPr>
          <w:rFonts w:ascii="Tahoma" w:hAnsi="Tahoma" w:cs="Tahoma"/>
          <w:sz w:val="22"/>
          <w:szCs w:val="22"/>
        </w:rPr>
        <w:t>as a result of</w:t>
      </w:r>
      <w:proofErr w:type="gramEnd"/>
      <w:r w:rsidRPr="003B79EF">
        <w:rPr>
          <w:rFonts w:ascii="Tahoma" w:hAnsi="Tahoma" w:cs="Tahoma"/>
          <w:sz w:val="22"/>
          <w:szCs w:val="22"/>
        </w:rPr>
        <w:t xml:space="preserve"> prepayment meters. These have come from Social Policy Feedback, where advisers identify </w:t>
      </w:r>
      <w:proofErr w:type="gramStart"/>
      <w:r w:rsidRPr="003B79EF">
        <w:rPr>
          <w:rFonts w:ascii="Tahoma" w:hAnsi="Tahoma" w:cs="Tahoma"/>
          <w:sz w:val="22"/>
          <w:szCs w:val="22"/>
        </w:rPr>
        <w:t>cases</w:t>
      </w:r>
      <w:proofErr w:type="gramEnd"/>
      <w:r w:rsidRPr="003B79EF">
        <w:rPr>
          <w:rFonts w:ascii="Tahoma" w:hAnsi="Tahoma" w:cs="Tahoma"/>
          <w:sz w:val="22"/>
          <w:szCs w:val="22"/>
        </w:rPr>
        <w:t xml:space="preserve"> they see that are of particular concern or highlight a consistent problem.  </w:t>
      </w:r>
    </w:p>
    <w:p w14:paraId="19A4F9AC"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b/>
          <w:bCs/>
          <w:sz w:val="22"/>
          <w:szCs w:val="22"/>
        </w:rPr>
        <w:t>Key points</w:t>
      </w:r>
      <w:r w:rsidRPr="003B79EF">
        <w:rPr>
          <w:rFonts w:ascii="Tahoma" w:hAnsi="Tahoma" w:cs="Tahoma"/>
          <w:sz w:val="22"/>
          <w:szCs w:val="22"/>
        </w:rPr>
        <w:t> </w:t>
      </w:r>
    </w:p>
    <w:p w14:paraId="658C2D5F" w14:textId="77777777" w:rsidR="003B79EF" w:rsidRPr="003B79EF" w:rsidRDefault="003B79EF" w:rsidP="00C87930">
      <w:pPr>
        <w:numPr>
          <w:ilvl w:val="0"/>
          <w:numId w:val="45"/>
        </w:numPr>
        <w:spacing w:afterLines="50" w:after="120"/>
        <w:ind w:left="567" w:right="420" w:hanging="357"/>
        <w:rPr>
          <w:rFonts w:ascii="Tahoma" w:hAnsi="Tahoma" w:cs="Tahoma"/>
          <w:sz w:val="22"/>
          <w:szCs w:val="22"/>
        </w:rPr>
      </w:pPr>
      <w:r w:rsidRPr="003B79EF">
        <w:rPr>
          <w:rFonts w:ascii="Tahoma" w:hAnsi="Tahoma" w:cs="Tahoma"/>
          <w:sz w:val="22"/>
          <w:szCs w:val="22"/>
        </w:rPr>
        <w:t>Vulnerability is created by circumstances and the move to a prepayment meter can create vulnerability.  </w:t>
      </w:r>
    </w:p>
    <w:p w14:paraId="4DB57C03" w14:textId="77777777" w:rsidR="003B79EF" w:rsidRPr="003B79EF" w:rsidRDefault="003B79EF" w:rsidP="00C87930">
      <w:pPr>
        <w:numPr>
          <w:ilvl w:val="0"/>
          <w:numId w:val="45"/>
        </w:numPr>
        <w:spacing w:afterLines="50" w:after="120"/>
        <w:ind w:left="567" w:right="420" w:hanging="357"/>
        <w:rPr>
          <w:rFonts w:ascii="Tahoma" w:hAnsi="Tahoma" w:cs="Tahoma"/>
          <w:sz w:val="22"/>
          <w:szCs w:val="22"/>
        </w:rPr>
      </w:pPr>
      <w:r w:rsidRPr="003B79EF">
        <w:rPr>
          <w:rFonts w:ascii="Tahoma" w:hAnsi="Tahoma" w:cs="Tahoma"/>
          <w:sz w:val="22"/>
          <w:szCs w:val="22"/>
        </w:rPr>
        <w:t xml:space="preserve">Definitions of vulnerability do not consider the outcomes of being made vulnerable </w:t>
      </w:r>
      <w:proofErr w:type="gramStart"/>
      <w:r w:rsidRPr="003B79EF">
        <w:rPr>
          <w:rFonts w:ascii="Tahoma" w:hAnsi="Tahoma" w:cs="Tahoma"/>
          <w:sz w:val="22"/>
          <w:szCs w:val="22"/>
        </w:rPr>
        <w:t>i.e.</w:t>
      </w:r>
      <w:proofErr w:type="gramEnd"/>
      <w:r w:rsidRPr="003B79EF">
        <w:rPr>
          <w:rFonts w:ascii="Tahoma" w:hAnsi="Tahoma" w:cs="Tahoma"/>
          <w:sz w:val="22"/>
          <w:szCs w:val="22"/>
        </w:rPr>
        <w:t xml:space="preserve"> the ability to adequately heat and power a home. </w:t>
      </w:r>
    </w:p>
    <w:p w14:paraId="46636B83" w14:textId="77777777" w:rsidR="003B79EF" w:rsidRPr="003B79EF" w:rsidRDefault="003B79EF" w:rsidP="00C87930">
      <w:pPr>
        <w:numPr>
          <w:ilvl w:val="0"/>
          <w:numId w:val="45"/>
        </w:numPr>
        <w:spacing w:afterLines="50" w:after="120"/>
        <w:ind w:left="567" w:right="420" w:hanging="357"/>
        <w:rPr>
          <w:rFonts w:ascii="Tahoma" w:hAnsi="Tahoma" w:cs="Tahoma"/>
          <w:sz w:val="22"/>
          <w:szCs w:val="22"/>
        </w:rPr>
      </w:pPr>
      <w:r w:rsidRPr="003B79EF">
        <w:rPr>
          <w:rFonts w:ascii="Tahoma" w:hAnsi="Tahoma" w:cs="Tahoma"/>
          <w:sz w:val="22"/>
          <w:szCs w:val="22"/>
        </w:rPr>
        <w:t>Disconnection protections are inadequate for people who may be in vulnerable circumstances.  </w:t>
      </w:r>
    </w:p>
    <w:p w14:paraId="6F20540F" w14:textId="77777777" w:rsidR="003B79EF" w:rsidRPr="003B79EF" w:rsidRDefault="003B79EF" w:rsidP="00C87930">
      <w:pPr>
        <w:numPr>
          <w:ilvl w:val="0"/>
          <w:numId w:val="45"/>
        </w:numPr>
        <w:spacing w:afterLines="50" w:after="120"/>
        <w:ind w:left="567" w:right="420" w:hanging="357"/>
        <w:rPr>
          <w:rFonts w:ascii="Tahoma" w:hAnsi="Tahoma" w:cs="Tahoma"/>
          <w:sz w:val="22"/>
          <w:szCs w:val="22"/>
        </w:rPr>
      </w:pPr>
      <w:r w:rsidRPr="003B79EF">
        <w:rPr>
          <w:rFonts w:ascii="Tahoma" w:hAnsi="Tahoma" w:cs="Tahoma"/>
          <w:sz w:val="22"/>
          <w:szCs w:val="22"/>
        </w:rPr>
        <w:t>The suspension of forced installation of PPMs should be retained permanently. </w:t>
      </w:r>
    </w:p>
    <w:p w14:paraId="4645AAA0" w14:textId="77777777" w:rsidR="003B79EF" w:rsidRPr="003B79EF" w:rsidRDefault="003B79EF" w:rsidP="00C87930">
      <w:pPr>
        <w:numPr>
          <w:ilvl w:val="0"/>
          <w:numId w:val="45"/>
        </w:numPr>
        <w:spacing w:afterLines="50" w:after="120"/>
        <w:ind w:left="567" w:right="420" w:hanging="357"/>
        <w:rPr>
          <w:rFonts w:ascii="Tahoma" w:hAnsi="Tahoma" w:cs="Tahoma"/>
          <w:sz w:val="22"/>
          <w:szCs w:val="22"/>
        </w:rPr>
      </w:pPr>
      <w:r w:rsidRPr="003B79EF">
        <w:rPr>
          <w:rFonts w:ascii="Tahoma" w:hAnsi="Tahoma" w:cs="Tahoma"/>
          <w:sz w:val="22"/>
          <w:szCs w:val="22"/>
        </w:rPr>
        <w:t>Forced switching to PPM through a smart meter should stop.  </w:t>
      </w:r>
    </w:p>
    <w:p w14:paraId="79AF9A9B" w14:textId="77777777" w:rsidR="003B79EF" w:rsidRPr="003B79EF" w:rsidRDefault="003B79EF" w:rsidP="00C87930">
      <w:pPr>
        <w:numPr>
          <w:ilvl w:val="0"/>
          <w:numId w:val="45"/>
        </w:numPr>
        <w:spacing w:afterLines="50" w:after="120"/>
        <w:ind w:left="567" w:right="420" w:hanging="357"/>
        <w:rPr>
          <w:rFonts w:ascii="Tahoma" w:hAnsi="Tahoma" w:cs="Tahoma"/>
          <w:sz w:val="22"/>
          <w:szCs w:val="22"/>
        </w:rPr>
      </w:pPr>
      <w:r w:rsidRPr="003B79EF">
        <w:rPr>
          <w:rFonts w:ascii="Tahoma" w:hAnsi="Tahoma" w:cs="Tahoma"/>
          <w:sz w:val="22"/>
          <w:szCs w:val="22"/>
        </w:rPr>
        <w:t>Existing protections need to be better enforced and more consistently applied across the sector.  </w:t>
      </w:r>
    </w:p>
    <w:p w14:paraId="60CB2E62" w14:textId="77777777" w:rsidR="003B79EF" w:rsidRPr="003B79EF" w:rsidRDefault="003B79EF" w:rsidP="00C87930">
      <w:pPr>
        <w:numPr>
          <w:ilvl w:val="0"/>
          <w:numId w:val="45"/>
        </w:numPr>
        <w:spacing w:afterLines="50" w:after="120"/>
        <w:ind w:left="567" w:right="420" w:hanging="357"/>
        <w:rPr>
          <w:rFonts w:ascii="Tahoma" w:hAnsi="Tahoma" w:cs="Tahoma"/>
          <w:sz w:val="22"/>
          <w:szCs w:val="22"/>
        </w:rPr>
      </w:pPr>
      <w:r w:rsidRPr="003B79EF">
        <w:rPr>
          <w:rFonts w:ascii="Tahoma" w:hAnsi="Tahoma" w:cs="Tahoma"/>
          <w:sz w:val="22"/>
          <w:szCs w:val="22"/>
        </w:rPr>
        <w:t xml:space="preserve">Consumers must have improved and timely communication </w:t>
      </w:r>
      <w:proofErr w:type="gramStart"/>
      <w:r w:rsidRPr="003B79EF">
        <w:rPr>
          <w:rFonts w:ascii="Tahoma" w:hAnsi="Tahoma" w:cs="Tahoma"/>
          <w:sz w:val="22"/>
          <w:szCs w:val="22"/>
        </w:rPr>
        <w:t>in order to</w:t>
      </w:r>
      <w:proofErr w:type="gramEnd"/>
      <w:r w:rsidRPr="003B79EF">
        <w:rPr>
          <w:rFonts w:ascii="Tahoma" w:hAnsi="Tahoma" w:cs="Tahoma"/>
          <w:sz w:val="22"/>
          <w:szCs w:val="22"/>
        </w:rPr>
        <w:t xml:space="preserve"> get independent advice, make an informed choice and negotiate their position. </w:t>
      </w:r>
    </w:p>
    <w:p w14:paraId="6B48ECE7" w14:textId="3E3C6B29" w:rsidR="00C7012B" w:rsidRPr="00C7012B" w:rsidRDefault="003B79EF" w:rsidP="00C7012B">
      <w:pPr>
        <w:numPr>
          <w:ilvl w:val="0"/>
          <w:numId w:val="45"/>
        </w:numPr>
        <w:spacing w:afterLines="50" w:after="120"/>
        <w:ind w:left="567" w:right="420" w:hanging="357"/>
        <w:rPr>
          <w:rFonts w:ascii="Tahoma" w:hAnsi="Tahoma" w:cs="Tahoma"/>
          <w:sz w:val="22"/>
          <w:szCs w:val="22"/>
        </w:rPr>
      </w:pPr>
      <w:r w:rsidRPr="003B79EF">
        <w:rPr>
          <w:rFonts w:ascii="Tahoma" w:hAnsi="Tahoma" w:cs="Tahoma"/>
          <w:sz w:val="22"/>
          <w:szCs w:val="22"/>
        </w:rPr>
        <w:t>Suppliers who install a PPM in a breach of these rules should be required to reverse the installation and recompense consumers for any loss.  </w:t>
      </w:r>
    </w:p>
    <w:p w14:paraId="1B584761" w14:textId="451C572B" w:rsidR="003B79EF" w:rsidRPr="003B79EF" w:rsidRDefault="003B79EF" w:rsidP="00C7012B">
      <w:pPr>
        <w:spacing w:before="240" w:afterLines="120" w:after="288"/>
        <w:ind w:right="418"/>
        <w:rPr>
          <w:rFonts w:ascii="Tahoma" w:hAnsi="Tahoma" w:cs="Tahoma"/>
          <w:sz w:val="22"/>
          <w:szCs w:val="22"/>
        </w:rPr>
      </w:pPr>
      <w:r w:rsidRPr="003B79EF">
        <w:rPr>
          <w:rFonts w:ascii="Tahoma" w:hAnsi="Tahoma" w:cs="Tahoma"/>
          <w:b/>
          <w:bCs/>
          <w:sz w:val="22"/>
          <w:szCs w:val="22"/>
        </w:rPr>
        <w:t>Introduction</w:t>
      </w:r>
      <w:r w:rsidRPr="003B79EF">
        <w:rPr>
          <w:rFonts w:ascii="Tahoma" w:hAnsi="Tahoma" w:cs="Tahoma"/>
          <w:sz w:val="22"/>
          <w:szCs w:val="22"/>
        </w:rPr>
        <w:t> </w:t>
      </w:r>
    </w:p>
    <w:p w14:paraId="20B7BABA" w14:textId="456EA309"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 xml:space="preserve">Citizens Advice Scotland </w:t>
      </w:r>
      <w:r w:rsidR="00F10193">
        <w:rPr>
          <w:rFonts w:ascii="Tahoma" w:hAnsi="Tahoma" w:cs="Tahoma"/>
          <w:sz w:val="22"/>
          <w:szCs w:val="22"/>
        </w:rPr>
        <w:t xml:space="preserve">(CAS) </w:t>
      </w:r>
      <w:r w:rsidRPr="003B79EF">
        <w:rPr>
          <w:rFonts w:ascii="Tahoma" w:hAnsi="Tahoma" w:cs="Tahoma"/>
          <w:sz w:val="22"/>
          <w:szCs w:val="22"/>
        </w:rPr>
        <w:t xml:space="preserve">welcomes the opportunity to respond to this consultation. Our data clearly shows that current practice around PPMs is causing detriment to consumers, in many cases putting people lives at risk. It also demonstrates that existing guidance and rules are not being adhered to. Our position is that the definition of vulnerability needs to be reframed to more clearly </w:t>
      </w:r>
      <w:r w:rsidRPr="003B79EF">
        <w:rPr>
          <w:rFonts w:ascii="Tahoma" w:hAnsi="Tahoma" w:cs="Tahoma"/>
          <w:sz w:val="22"/>
          <w:szCs w:val="22"/>
        </w:rPr>
        <w:lastRenderedPageBreak/>
        <w:t xml:space="preserve">be a measurement of the circumstances that people are in, often </w:t>
      </w:r>
      <w:proofErr w:type="gramStart"/>
      <w:r w:rsidRPr="003B79EF">
        <w:rPr>
          <w:rFonts w:ascii="Tahoma" w:hAnsi="Tahoma" w:cs="Tahoma"/>
          <w:sz w:val="22"/>
          <w:szCs w:val="22"/>
        </w:rPr>
        <w:t>as a result of</w:t>
      </w:r>
      <w:proofErr w:type="gramEnd"/>
      <w:r w:rsidRPr="003B79EF">
        <w:rPr>
          <w:rFonts w:ascii="Tahoma" w:hAnsi="Tahoma" w:cs="Tahoma"/>
          <w:sz w:val="22"/>
          <w:szCs w:val="22"/>
        </w:rPr>
        <w:t xml:space="preserve"> suppliers’ actions, rather than the client’s identity being the focus.  </w:t>
      </w:r>
    </w:p>
    <w:p w14:paraId="1BA0D2F8" w14:textId="7B5A6B58"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We would also highlight that the issues identified by our research are not new. They do not arise out of the cost of living and energy crises. While they may have been exacerbated by them, the</w:t>
      </w:r>
      <w:r w:rsidR="00F10193">
        <w:rPr>
          <w:rFonts w:ascii="Tahoma" w:hAnsi="Tahoma" w:cs="Tahoma"/>
          <w:sz w:val="22"/>
          <w:szCs w:val="22"/>
        </w:rPr>
        <w:t xml:space="preserve"> problems</w:t>
      </w:r>
      <w:r w:rsidRPr="003B79EF">
        <w:rPr>
          <w:rFonts w:ascii="Tahoma" w:hAnsi="Tahoma" w:cs="Tahoma"/>
          <w:sz w:val="22"/>
          <w:szCs w:val="22"/>
        </w:rPr>
        <w:t xml:space="preserve"> have existed for many years. Our recent research report </w:t>
      </w:r>
      <w:hyperlink r:id="rId11" w:tgtFrame="_blank" w:history="1">
        <w:r w:rsidRPr="003B79EF">
          <w:rPr>
            <w:rStyle w:val="Hyperlink"/>
            <w:rFonts w:ascii="Tahoma" w:hAnsi="Tahoma" w:cs="Tahoma"/>
            <w:sz w:val="22"/>
            <w:szCs w:val="22"/>
          </w:rPr>
          <w:t>Frontline perspectives: clients’ journeys with prepayment meters</w:t>
        </w:r>
      </w:hyperlink>
      <w:r w:rsidRPr="003B79EF">
        <w:rPr>
          <w:rFonts w:ascii="Tahoma" w:hAnsi="Tahoma" w:cs="Tahoma"/>
          <w:sz w:val="22"/>
          <w:szCs w:val="22"/>
        </w:rPr>
        <w:t xml:space="preserve"> raises many of the issues we highlight in this response but uses data from between July 2020 – January 2022.  </w:t>
      </w:r>
    </w:p>
    <w:p w14:paraId="014250D7"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b/>
          <w:bCs/>
          <w:sz w:val="22"/>
          <w:szCs w:val="22"/>
        </w:rPr>
        <w:t>Question 1: Does Ofgem have the right balance between principles-based regulation (Standards of Conduct and Vulnerability Principle) and prescriptive rules (SLCs, guidance) to guide suppliers when installing or remote switching to PPMs? Please explain.</w:t>
      </w:r>
      <w:r w:rsidRPr="003B79EF">
        <w:rPr>
          <w:rFonts w:ascii="Tahoma" w:hAnsi="Tahoma" w:cs="Tahoma"/>
          <w:sz w:val="22"/>
          <w:szCs w:val="22"/>
        </w:rPr>
        <w:t> </w:t>
      </w:r>
    </w:p>
    <w:p w14:paraId="45D0C7D0"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CAS’s view is that installing or switching to PPMs can have a significant negative impact on consumers and that supplier application of current rules is inconsistently applied. Increased prescription is necessary to prevent harm to consumers as principles can lead to interpretation and inconsistent outcomes. Being put on a PPM can have life changing impacts, with significant safeguarding issues, and as such should not be left open to interpretation.  </w:t>
      </w:r>
    </w:p>
    <w:p w14:paraId="70224BEA"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 xml:space="preserve">PPMs are not always installed as a last </w:t>
      </w:r>
      <w:proofErr w:type="gramStart"/>
      <w:r w:rsidRPr="003B79EF">
        <w:rPr>
          <w:rFonts w:ascii="Tahoma" w:hAnsi="Tahoma" w:cs="Tahoma"/>
          <w:sz w:val="22"/>
          <w:szCs w:val="22"/>
        </w:rPr>
        <w:t>resort,</w:t>
      </w:r>
      <w:proofErr w:type="gramEnd"/>
      <w:r w:rsidRPr="003B79EF">
        <w:rPr>
          <w:rFonts w:ascii="Tahoma" w:hAnsi="Tahoma" w:cs="Tahoma"/>
          <w:sz w:val="22"/>
          <w:szCs w:val="22"/>
        </w:rPr>
        <w:t xml:space="preserve"> the Priority Services Register does not always result in appropriate support and consumers who want to pay more of their debt may be unable to due to the supplier’s refusal to accept a proposal.  </w:t>
      </w:r>
    </w:p>
    <w:p w14:paraId="6D9C8D89"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The following case exemplifies the need for greater prescription in relation to PPMs to better protect consumers. It demonstrates that “safe and reasonably practicable” is not always applied correctly. </w:t>
      </w:r>
    </w:p>
    <w:p w14:paraId="470666DC" w14:textId="77777777" w:rsidR="003B79EF" w:rsidRPr="003B79EF" w:rsidRDefault="003B79EF" w:rsidP="00D013D0">
      <w:pPr>
        <w:spacing w:afterLines="120" w:after="288"/>
        <w:ind w:left="567" w:right="843"/>
        <w:rPr>
          <w:rFonts w:ascii="Tahoma" w:hAnsi="Tahoma" w:cs="Tahoma"/>
          <w:sz w:val="22"/>
          <w:szCs w:val="22"/>
        </w:rPr>
      </w:pPr>
      <w:r w:rsidRPr="003B79EF">
        <w:rPr>
          <w:rFonts w:ascii="Tahoma" w:hAnsi="Tahoma" w:cs="Tahoma"/>
          <w:b/>
          <w:bCs/>
          <w:sz w:val="22"/>
          <w:szCs w:val="22"/>
        </w:rPr>
        <w:t>Citizen’s Alert:</w:t>
      </w:r>
      <w:r w:rsidRPr="003B79EF">
        <w:rPr>
          <w:rFonts w:ascii="Tahoma" w:hAnsi="Tahoma" w:cs="Tahoma"/>
          <w:sz w:val="22"/>
          <w:szCs w:val="22"/>
        </w:rPr>
        <w:t xml:space="preserve"> An east of Scotland CAB reports of a client who has dual energy debt which started four years ago when the client was in a coma. Their smart meters were switched from credit to prepayment. The client is currently making payments towards this via deductions on their meter at £10 per fuel per week. The client enquired as to whether they could set up a direct debit to contribute towards the debt. The client is in receipt of Personal Independence Payment and Employment Support Allowance. The client requires gas and electricity </w:t>
      </w:r>
      <w:proofErr w:type="gramStart"/>
      <w:r w:rsidRPr="003B79EF">
        <w:rPr>
          <w:rFonts w:ascii="Tahoma" w:hAnsi="Tahoma" w:cs="Tahoma"/>
          <w:sz w:val="22"/>
          <w:szCs w:val="22"/>
        </w:rPr>
        <w:t>in order to</w:t>
      </w:r>
      <w:proofErr w:type="gramEnd"/>
      <w:r w:rsidRPr="003B79EF">
        <w:rPr>
          <w:rFonts w:ascii="Tahoma" w:hAnsi="Tahoma" w:cs="Tahoma"/>
          <w:sz w:val="22"/>
          <w:szCs w:val="22"/>
        </w:rPr>
        <w:t xml:space="preserve"> manage their condition and uses a ventilator (respiratory and heart failure) and is very concerned about being disconnected and the impact that this would have upon their health. The client is on the priority services register for chronic illness. The supplier refused the request to set up a direct debit for the debt but offered to reduce the debt repayments for each account. The client can only afford £5 a week to each, which is why they wanted to arrange a direct debit. Since this was not an option they asked if they could arrange payment cards for the accounts, so the repayments were not coming off their top-ups. The client was told they could not be switched back to credit mode due to the debt on their account. </w:t>
      </w:r>
    </w:p>
    <w:p w14:paraId="5F5FAB0E" w14:textId="4C6828AA" w:rsidR="003B79EF" w:rsidRPr="003B79EF" w:rsidRDefault="003B79EF" w:rsidP="003B79EF">
      <w:pPr>
        <w:spacing w:afterLines="120" w:after="288"/>
        <w:ind w:right="418"/>
        <w:rPr>
          <w:rFonts w:ascii="Tahoma" w:hAnsi="Tahoma" w:cs="Tahoma"/>
          <w:sz w:val="22"/>
          <w:szCs w:val="22"/>
        </w:rPr>
      </w:pPr>
      <w:r w:rsidRPr="003B79EF">
        <w:rPr>
          <w:rFonts w:ascii="Tahoma" w:hAnsi="Tahoma" w:cs="Tahoma"/>
          <w:b/>
          <w:bCs/>
          <w:sz w:val="22"/>
          <w:szCs w:val="22"/>
        </w:rPr>
        <w:t>Question 2: Should there be prescriptive processes and questions suppliers must seek to answer before progressing to PPM in the debt journey? Should this be set by Ofgem?</w:t>
      </w:r>
      <w:r w:rsidRPr="003B79EF">
        <w:rPr>
          <w:rFonts w:ascii="Tahoma" w:hAnsi="Tahoma" w:cs="Tahoma"/>
          <w:sz w:val="22"/>
          <w:szCs w:val="22"/>
        </w:rPr>
        <w:t> </w:t>
      </w:r>
    </w:p>
    <w:p w14:paraId="3F98E643"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CABx see clients who are experiencing detriment because the existing conditions and rules are not being followed correctly or consistently. A more prescriptive approach is necessary to ensure consumers are adequately protected.  </w:t>
      </w:r>
    </w:p>
    <w:p w14:paraId="427627A0" w14:textId="4607647E"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lastRenderedPageBreak/>
        <w:t xml:space="preserve">A single, centralised approach, set by Ofgem, would ensure consistency across the sector. Suppliers should be required to demonstrate that they have followed a defined process before moving anyone onto a PPM. An example of this exists in the </w:t>
      </w:r>
      <w:r w:rsidR="00F10193">
        <w:rPr>
          <w:rFonts w:ascii="Tahoma" w:hAnsi="Tahoma" w:cs="Tahoma"/>
          <w:sz w:val="22"/>
          <w:szCs w:val="22"/>
        </w:rPr>
        <w:t>p</w:t>
      </w:r>
      <w:r w:rsidRPr="003B79EF">
        <w:rPr>
          <w:rFonts w:ascii="Tahoma" w:hAnsi="Tahoma" w:cs="Tahoma"/>
          <w:sz w:val="22"/>
          <w:szCs w:val="22"/>
        </w:rPr>
        <w:t>re-action requirements in place in the mortgage and private rented sectors. This process should require a reason for rejecting any consumer or adviser proposal for a repayment plan and include mandatory review points and continuous evaluation of a consumer’s circumstances. </w:t>
      </w:r>
    </w:p>
    <w:p w14:paraId="7179DB24" w14:textId="77777777" w:rsidR="003B79EF" w:rsidRPr="003B79EF" w:rsidRDefault="003B79EF" w:rsidP="00D013D0">
      <w:pPr>
        <w:spacing w:afterLines="120" w:after="288"/>
        <w:ind w:left="567" w:right="843"/>
        <w:rPr>
          <w:rFonts w:ascii="Tahoma" w:hAnsi="Tahoma" w:cs="Tahoma"/>
          <w:sz w:val="22"/>
          <w:szCs w:val="22"/>
        </w:rPr>
      </w:pPr>
      <w:r w:rsidRPr="003B79EF">
        <w:rPr>
          <w:rFonts w:ascii="Tahoma" w:hAnsi="Tahoma" w:cs="Tahoma"/>
          <w:b/>
          <w:bCs/>
          <w:sz w:val="22"/>
          <w:szCs w:val="22"/>
        </w:rPr>
        <w:t>Citizen’s Alert:</w:t>
      </w:r>
      <w:r w:rsidRPr="003B79EF">
        <w:rPr>
          <w:rFonts w:ascii="Tahoma" w:hAnsi="Tahoma" w:cs="Tahoma"/>
          <w:sz w:val="22"/>
          <w:szCs w:val="22"/>
        </w:rPr>
        <w:t xml:space="preserve"> An east of Scotland CAB reports of a client who is a single parent and is off work, receiving Statutory Sick Pay (SSP). They are being supported by a Mental Health and Wellbeing Senior Support Worker. They have several debts, including Council Tax, for which there is an arrestment order which has also been applied (wrongly) to their SSP. This has also resulted in fuel debt. The client attempted to put a repayment plan in place but was told by the supplier that they would need to make an upfront payment of several hundred pounds before an instalment plan could be agreed. The client could not afford this and so the debt continued unaddressed. Following intervention from an adviser an arrangement has now been set but the client was required to pay £170 upfront. The client is frustrated that the current arrangement was not discussed sooner, as the overall situation has impacted their wellbeing. </w:t>
      </w:r>
    </w:p>
    <w:p w14:paraId="1ED2CEE8"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b/>
          <w:bCs/>
          <w:sz w:val="22"/>
          <w:szCs w:val="22"/>
        </w:rPr>
        <w:t>Question 3: SLCs 27 and 28 require suppliers to only install PPM if safe and reasonably practicable and Ofgem published updated guidance on it in 2016. In your view is the term “safe and reasonably practicable” still sufficient or should this be changed?</w:t>
      </w:r>
      <w:r w:rsidRPr="003B79EF">
        <w:rPr>
          <w:rFonts w:ascii="Tahoma" w:hAnsi="Tahoma" w:cs="Tahoma"/>
          <w:sz w:val="22"/>
          <w:szCs w:val="22"/>
        </w:rPr>
        <w:t> </w:t>
      </w:r>
    </w:p>
    <w:p w14:paraId="124F3340" w14:textId="425079B9"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Current guidance on installation is not being followed consistently and is therefore ineffective in driving appropriate behaviour by suppliers. The CAB network in Scotland sees many cases where consumers are made vulnerable by the installation of PPMs, or where installation disproportionately increases a consumer</w:t>
      </w:r>
      <w:r w:rsidR="00F10193">
        <w:rPr>
          <w:rFonts w:ascii="Tahoma" w:hAnsi="Tahoma" w:cs="Tahoma"/>
          <w:sz w:val="22"/>
          <w:szCs w:val="22"/>
        </w:rPr>
        <w:t>’</w:t>
      </w:r>
      <w:r w:rsidRPr="003B79EF">
        <w:rPr>
          <w:rFonts w:ascii="Tahoma" w:hAnsi="Tahoma" w:cs="Tahoma"/>
          <w:sz w:val="22"/>
          <w:szCs w:val="22"/>
        </w:rPr>
        <w:t>s costs.  </w:t>
      </w:r>
    </w:p>
    <w:p w14:paraId="2821D216" w14:textId="77777777" w:rsidR="003B79EF" w:rsidRPr="003B79EF" w:rsidRDefault="003B79EF" w:rsidP="00D013D0">
      <w:pPr>
        <w:tabs>
          <w:tab w:val="left" w:pos="9356"/>
        </w:tabs>
        <w:spacing w:afterLines="120" w:after="288"/>
        <w:ind w:left="567" w:right="843"/>
        <w:rPr>
          <w:rFonts w:ascii="Tahoma" w:hAnsi="Tahoma" w:cs="Tahoma"/>
          <w:sz w:val="22"/>
          <w:szCs w:val="22"/>
        </w:rPr>
      </w:pPr>
      <w:r w:rsidRPr="003B79EF">
        <w:rPr>
          <w:rFonts w:ascii="Tahoma" w:hAnsi="Tahoma" w:cs="Tahoma"/>
          <w:b/>
          <w:bCs/>
          <w:sz w:val="22"/>
          <w:szCs w:val="22"/>
        </w:rPr>
        <w:t>Citizen’s Alert:</w:t>
      </w:r>
      <w:r w:rsidRPr="003B79EF">
        <w:rPr>
          <w:rFonts w:ascii="Tahoma" w:hAnsi="Tahoma" w:cs="Tahoma"/>
          <w:sz w:val="22"/>
          <w:szCs w:val="22"/>
        </w:rPr>
        <w:t xml:space="preserve"> An east of Scotland CAB reports of a client, who was issued with a bill pertaining to the previous tenant of his property. The client was unable, due to serious ill health and a language barrier, to handle the situation. His supplier forced entry and installed a prepayment meter in the client's absence. The client is now unable to meet his energy needs.  </w:t>
      </w:r>
    </w:p>
    <w:p w14:paraId="7D7F174A" w14:textId="77777777" w:rsidR="003B79EF" w:rsidRPr="003B79EF" w:rsidRDefault="003B79EF" w:rsidP="00D013D0">
      <w:pPr>
        <w:tabs>
          <w:tab w:val="left" w:pos="9356"/>
        </w:tabs>
        <w:spacing w:afterLines="120" w:after="288"/>
        <w:ind w:left="567" w:right="843"/>
        <w:rPr>
          <w:rFonts w:ascii="Tahoma" w:hAnsi="Tahoma" w:cs="Tahoma"/>
          <w:sz w:val="22"/>
          <w:szCs w:val="22"/>
        </w:rPr>
      </w:pPr>
      <w:r w:rsidRPr="003B79EF">
        <w:rPr>
          <w:rFonts w:ascii="Tahoma" w:hAnsi="Tahoma" w:cs="Tahoma"/>
          <w:b/>
          <w:bCs/>
          <w:sz w:val="22"/>
          <w:szCs w:val="22"/>
        </w:rPr>
        <w:t>Citizen’s Alert:</w:t>
      </w:r>
      <w:r w:rsidRPr="003B79EF">
        <w:rPr>
          <w:rFonts w:ascii="Tahoma" w:hAnsi="Tahoma" w:cs="Tahoma"/>
          <w:sz w:val="22"/>
          <w:szCs w:val="22"/>
        </w:rPr>
        <w:t xml:space="preserve"> An east of Scotland CAB reports of a lone parent of a disabled child, herself struggling with health conditions and only able to work part-time, being threatened with the installation of prepayment meters and unable to contact her energy provider to negotiate a repayment plan.  </w:t>
      </w:r>
    </w:p>
    <w:p w14:paraId="0C04477C" w14:textId="2AC4295A"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In addition to ensuring existing rules are adhered to, there must be greater consideration of the impact on consumers post-installation, rather than a sole focus on pre-installation. Ofgem guidance talks about vulnerable situations rather than vulnerable consumers</w:t>
      </w:r>
      <w:r w:rsidR="006C5D43">
        <w:rPr>
          <w:rStyle w:val="FootnoteReference"/>
          <w:rFonts w:ascii="Tahoma" w:hAnsi="Tahoma" w:cs="Tahoma"/>
          <w:sz w:val="22"/>
          <w:szCs w:val="22"/>
        </w:rPr>
        <w:footnoteReference w:id="4"/>
      </w:r>
      <w:r w:rsidRPr="003B79EF">
        <w:rPr>
          <w:rFonts w:ascii="Tahoma" w:hAnsi="Tahoma" w:cs="Tahoma"/>
          <w:sz w:val="22"/>
          <w:szCs w:val="22"/>
        </w:rPr>
        <w:t xml:space="preserve"> but goes on to define a vulnerable situation in terms of a consumer’s personal circumstances and characteristics</w:t>
      </w:r>
      <w:r w:rsidR="006C5D43">
        <w:rPr>
          <w:rStyle w:val="FootnoteReference"/>
          <w:rFonts w:ascii="Tahoma" w:hAnsi="Tahoma" w:cs="Tahoma"/>
          <w:sz w:val="22"/>
          <w:szCs w:val="22"/>
        </w:rPr>
        <w:footnoteReference w:id="5"/>
      </w:r>
      <w:r w:rsidRPr="003B79EF">
        <w:rPr>
          <w:rFonts w:ascii="Tahoma" w:hAnsi="Tahoma" w:cs="Tahoma"/>
          <w:sz w:val="22"/>
          <w:szCs w:val="22"/>
        </w:rPr>
        <w:t xml:space="preserve">. Vulnerability should be seen as circumstantial and situational, externally applied, </w:t>
      </w:r>
      <w:proofErr w:type="gramStart"/>
      <w:r w:rsidRPr="003B79EF">
        <w:rPr>
          <w:rFonts w:ascii="Tahoma" w:hAnsi="Tahoma" w:cs="Tahoma"/>
          <w:sz w:val="22"/>
          <w:szCs w:val="22"/>
        </w:rPr>
        <w:t>similar to</w:t>
      </w:r>
      <w:proofErr w:type="gramEnd"/>
      <w:r w:rsidRPr="003B79EF">
        <w:rPr>
          <w:rFonts w:ascii="Tahoma" w:hAnsi="Tahoma" w:cs="Tahoma"/>
          <w:sz w:val="22"/>
          <w:szCs w:val="22"/>
        </w:rPr>
        <w:t xml:space="preserve"> the Social Model of Disability</w:t>
      </w:r>
      <w:r w:rsidR="006C5D43">
        <w:rPr>
          <w:rStyle w:val="FootnoteReference"/>
          <w:rFonts w:ascii="Tahoma" w:hAnsi="Tahoma" w:cs="Tahoma"/>
          <w:sz w:val="22"/>
          <w:szCs w:val="22"/>
        </w:rPr>
        <w:footnoteReference w:id="6"/>
      </w:r>
      <w:r w:rsidRPr="003B79EF">
        <w:rPr>
          <w:rFonts w:ascii="Tahoma" w:hAnsi="Tahoma" w:cs="Tahoma"/>
          <w:sz w:val="22"/>
          <w:szCs w:val="22"/>
        </w:rPr>
        <w:t xml:space="preserve">. For example, a disabled person is not by definition vulnerable, however, </w:t>
      </w:r>
      <w:r w:rsidRPr="003B79EF">
        <w:rPr>
          <w:rFonts w:ascii="Tahoma" w:hAnsi="Tahoma" w:cs="Tahoma"/>
          <w:sz w:val="22"/>
          <w:szCs w:val="22"/>
        </w:rPr>
        <w:lastRenderedPageBreak/>
        <w:t>the negative impact on them of their circumstances might be greater than for a non-disabled person.  </w:t>
      </w:r>
    </w:p>
    <w:p w14:paraId="2AB2B054"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Suppliers should also assess the move to a PPM itself on a consumer’s vulnerable circumstances. The move to a PPM can exacerbate, or bring on, a health condition. The impact on consumers should be kept under review. </w:t>
      </w:r>
    </w:p>
    <w:p w14:paraId="7918188D" w14:textId="77777777" w:rsidR="003B79EF" w:rsidRPr="003B79EF" w:rsidRDefault="003B79EF" w:rsidP="00C87930">
      <w:pPr>
        <w:spacing w:afterLines="120" w:after="288"/>
        <w:ind w:left="567" w:right="843"/>
        <w:rPr>
          <w:rFonts w:ascii="Tahoma" w:hAnsi="Tahoma" w:cs="Tahoma"/>
          <w:sz w:val="22"/>
          <w:szCs w:val="22"/>
        </w:rPr>
      </w:pPr>
      <w:r w:rsidRPr="003B79EF">
        <w:rPr>
          <w:rFonts w:ascii="Tahoma" w:hAnsi="Tahoma" w:cs="Tahoma"/>
          <w:b/>
          <w:bCs/>
          <w:sz w:val="22"/>
          <w:szCs w:val="22"/>
        </w:rPr>
        <w:t>Citizen’s Alert:</w:t>
      </w:r>
      <w:r w:rsidRPr="003B79EF">
        <w:rPr>
          <w:rFonts w:ascii="Tahoma" w:hAnsi="Tahoma" w:cs="Tahoma"/>
          <w:sz w:val="22"/>
          <w:szCs w:val="22"/>
        </w:rPr>
        <w:t xml:space="preserve"> A west of Scotland CAB Reports of a client, a single young person reliant upon ill health related benefit with serious mental health difficulties, who contacted the Bureau for assistance with £760.16 of debt on their electricity meter. Their supplier had fitted a smart meter and subsequently remotely switched this meter to a prepayment meter without the client's knowledge. The client reported spending up to £400/month on fuel costs and that the situation has had a significant negative impact on their mental health.  </w:t>
      </w:r>
    </w:p>
    <w:p w14:paraId="4B936D36" w14:textId="20C68696" w:rsidR="003B79EF" w:rsidRPr="003B79EF" w:rsidRDefault="003B79EF" w:rsidP="003B79EF">
      <w:pPr>
        <w:spacing w:afterLines="120" w:after="288"/>
        <w:ind w:right="418"/>
        <w:rPr>
          <w:rFonts w:ascii="Tahoma" w:hAnsi="Tahoma" w:cs="Tahoma"/>
          <w:sz w:val="22"/>
          <w:szCs w:val="22"/>
          <w:vertAlign w:val="superscript"/>
        </w:rPr>
      </w:pPr>
      <w:r w:rsidRPr="003B79EF">
        <w:rPr>
          <w:rFonts w:ascii="Tahoma" w:hAnsi="Tahoma" w:cs="Tahoma"/>
          <w:sz w:val="22"/>
          <w:szCs w:val="22"/>
        </w:rPr>
        <w:t>Suppliers who install a PPM in a breach of these rules should be required to reverse the installation and recompense consumers for any loss</w:t>
      </w:r>
      <w:r w:rsidR="00186CEF">
        <w:rPr>
          <w:rStyle w:val="FootnoteReference"/>
          <w:rFonts w:ascii="Tahoma" w:hAnsi="Tahoma" w:cs="Tahoma"/>
          <w:sz w:val="22"/>
          <w:szCs w:val="22"/>
        </w:rPr>
        <w:footnoteReference w:id="7"/>
      </w:r>
      <w:r w:rsidRPr="003B79EF">
        <w:rPr>
          <w:rFonts w:ascii="Tahoma" w:hAnsi="Tahoma" w:cs="Tahoma"/>
          <w:sz w:val="22"/>
          <w:szCs w:val="22"/>
        </w:rPr>
        <w:t>. </w:t>
      </w:r>
    </w:p>
    <w:p w14:paraId="0F12982C"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b/>
          <w:bCs/>
          <w:sz w:val="22"/>
          <w:szCs w:val="22"/>
        </w:rPr>
        <w:t>Question 4: Should we expand the list of vulnerable characteristics for which consumers should never have PPM force-fitted or (if on a smart meter) forced-remote switched? If so, what additional characteristics should we include in our guidance, and why?</w:t>
      </w:r>
      <w:r w:rsidRPr="003B79EF">
        <w:rPr>
          <w:rFonts w:ascii="Tahoma" w:hAnsi="Tahoma" w:cs="Tahoma"/>
          <w:sz w:val="22"/>
          <w:szCs w:val="22"/>
        </w:rPr>
        <w:t> </w:t>
      </w:r>
    </w:p>
    <w:p w14:paraId="441FEE0B"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 xml:space="preserve">No one should have a PPM force fitted or force switched, as for many, both result in increased vulnerability. Greater consideration should be given to external factors causing vulnerability that could result in increased detriment to consumers with certain characteristics. As outlined, current application of the rules needs better enforcement and should be backed up by a risk assessment, </w:t>
      </w:r>
      <w:proofErr w:type="gramStart"/>
      <w:r w:rsidRPr="003B79EF">
        <w:rPr>
          <w:rFonts w:ascii="Tahoma" w:hAnsi="Tahoma" w:cs="Tahoma"/>
          <w:sz w:val="22"/>
          <w:szCs w:val="22"/>
        </w:rPr>
        <w:t>review</w:t>
      </w:r>
      <w:proofErr w:type="gramEnd"/>
      <w:r w:rsidRPr="003B79EF">
        <w:rPr>
          <w:rFonts w:ascii="Tahoma" w:hAnsi="Tahoma" w:cs="Tahoma"/>
          <w:sz w:val="22"/>
          <w:szCs w:val="22"/>
        </w:rPr>
        <w:t xml:space="preserve"> and evaluation. Suppliers must be pro-active in assessing a consumer’s vulnerability. </w:t>
      </w:r>
    </w:p>
    <w:p w14:paraId="363B79A0" w14:textId="0A881EDC"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Good practice in defining vulnerability exists in other spheres, for example, FCA (Financial Conduct Authority) guidance recognises that a supplier’s actions can cause vulnerability. It states that it views “</w:t>
      </w:r>
      <w:r w:rsidRPr="003B79EF">
        <w:rPr>
          <w:rFonts w:ascii="Tahoma" w:hAnsi="Tahoma" w:cs="Tahoma"/>
          <w:i/>
          <w:iCs/>
          <w:sz w:val="22"/>
          <w:szCs w:val="22"/>
        </w:rPr>
        <w:t>vulnerability is as a spectrum of risk. All consumers are at risk of becoming vulnerable, but this risk is increased by having characteristics of vulnerability.</w:t>
      </w:r>
      <w:r w:rsidRPr="003B79EF">
        <w:rPr>
          <w:rFonts w:ascii="Tahoma" w:hAnsi="Tahoma" w:cs="Tahoma"/>
          <w:sz w:val="22"/>
          <w:szCs w:val="22"/>
        </w:rPr>
        <w:t>”</w:t>
      </w:r>
      <w:r w:rsidR="00186CEF">
        <w:rPr>
          <w:rStyle w:val="FootnoteReference"/>
          <w:rFonts w:ascii="Tahoma" w:hAnsi="Tahoma" w:cs="Tahoma"/>
          <w:sz w:val="22"/>
          <w:szCs w:val="22"/>
        </w:rPr>
        <w:footnoteReference w:id="8"/>
      </w:r>
      <w:r w:rsidRPr="003B79EF">
        <w:rPr>
          <w:rFonts w:ascii="Tahoma" w:hAnsi="Tahoma" w:cs="Tahoma"/>
          <w:sz w:val="22"/>
          <w:szCs w:val="22"/>
        </w:rPr>
        <w:t> </w:t>
      </w:r>
    </w:p>
    <w:p w14:paraId="30A6D787" w14:textId="6E70BA6D"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The current definitions do not explicitly refer to the outcome from circumstances leading to installation of a PPM – adequately being able to heat and power a home. In Scotland in 2019, 24.6% of households were in fuel poverty, while 12.4% were in extreme fuel poverty</w:t>
      </w:r>
      <w:r w:rsidR="00186CEF">
        <w:rPr>
          <w:rStyle w:val="FootnoteReference"/>
          <w:rFonts w:ascii="Tahoma" w:hAnsi="Tahoma" w:cs="Tahoma"/>
          <w:sz w:val="22"/>
          <w:szCs w:val="22"/>
        </w:rPr>
        <w:footnoteReference w:id="9"/>
      </w:r>
      <w:r w:rsidRPr="003B79EF">
        <w:rPr>
          <w:rFonts w:ascii="Tahoma" w:hAnsi="Tahoma" w:cs="Tahoma"/>
          <w:sz w:val="22"/>
          <w:szCs w:val="22"/>
        </w:rPr>
        <w:t>. The Scottish Government has a Fuel Poverty Strategy</w:t>
      </w:r>
      <w:r w:rsidR="00186CEF">
        <w:rPr>
          <w:rStyle w:val="FootnoteReference"/>
          <w:rFonts w:ascii="Tahoma" w:hAnsi="Tahoma" w:cs="Tahoma"/>
          <w:sz w:val="22"/>
          <w:szCs w:val="22"/>
        </w:rPr>
        <w:footnoteReference w:id="10"/>
      </w:r>
      <w:r w:rsidRPr="003B79EF">
        <w:rPr>
          <w:rFonts w:ascii="Tahoma" w:hAnsi="Tahoma" w:cs="Tahoma"/>
          <w:sz w:val="22"/>
          <w:szCs w:val="22"/>
        </w:rPr>
        <w:t xml:space="preserve"> with targets and definitions of fuel poverty</w:t>
      </w:r>
      <w:r w:rsidR="00186CEF">
        <w:rPr>
          <w:rStyle w:val="FootnoteReference"/>
          <w:rFonts w:ascii="Tahoma" w:hAnsi="Tahoma" w:cs="Tahoma"/>
          <w:sz w:val="22"/>
          <w:szCs w:val="22"/>
        </w:rPr>
        <w:footnoteReference w:id="11"/>
      </w:r>
      <w:r w:rsidRPr="003B79EF">
        <w:rPr>
          <w:rFonts w:ascii="Tahoma" w:hAnsi="Tahoma" w:cs="Tahoma"/>
          <w:sz w:val="22"/>
          <w:szCs w:val="22"/>
        </w:rPr>
        <w:t>. While this only applies to heating a home, rather than providing for aids and equipment, for example, it demonstrates a clear outcome by identity. A model that considers whether a consumer can adequately heat a home and run essential appliances would by extension define vulnerability.  </w:t>
      </w:r>
    </w:p>
    <w:p w14:paraId="2618D778"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b/>
          <w:bCs/>
          <w:sz w:val="22"/>
          <w:szCs w:val="22"/>
        </w:rPr>
        <w:lastRenderedPageBreak/>
        <w:t>Question 5: Should we require suppliers to assess financial vulnerability when assessing whether a PPM is safe and reasonably practicable? Please explain.</w:t>
      </w:r>
      <w:r w:rsidRPr="003B79EF">
        <w:rPr>
          <w:rFonts w:ascii="Tahoma" w:hAnsi="Tahoma" w:cs="Tahoma"/>
          <w:sz w:val="22"/>
          <w:szCs w:val="22"/>
        </w:rPr>
        <w:t> </w:t>
      </w:r>
    </w:p>
    <w:p w14:paraId="2D6D9A93"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CAS’s position is that all consumers who are being assessed for a PPM by a supplier (not through choice) should automatically be recognised as being financially vulnerable at that point in time. Guidance states PPMs should only be installed as a last resort; to recover debt and after consideration of a repayment plan has failed – these circumstances indicate financial vulnerability.  </w:t>
      </w:r>
    </w:p>
    <w:p w14:paraId="1BFF7034"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A prescriptive process that recognises that these consumers are already financially vulnerable is better informed to assess whether installing or switching to a PPM may exacerbate that vulnerability. </w:t>
      </w:r>
    </w:p>
    <w:p w14:paraId="1FA1C540"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Suppliers appear reluctant to re-instate direct debit meters once the debt has been paid off, leaving clients at a financial disadvantage. This means that the consumer can be penalised long after the debt is repaid, potentially increasing financial vulnerability in the long term. CAS’s position is that reinstalling a credit meter should be as easy as installing a PPM. The case below, while not in relation to a previous debt, demonstrates that suppliers are reluctant to switch consumers back. </w:t>
      </w:r>
    </w:p>
    <w:p w14:paraId="040519F7" w14:textId="77777777" w:rsidR="003B79EF" w:rsidRPr="003B79EF" w:rsidRDefault="003B79EF" w:rsidP="00C87930">
      <w:pPr>
        <w:tabs>
          <w:tab w:val="left" w:pos="9356"/>
          <w:tab w:val="left" w:pos="9639"/>
        </w:tabs>
        <w:spacing w:afterLines="120" w:after="288"/>
        <w:ind w:left="567" w:right="843"/>
        <w:rPr>
          <w:rFonts w:ascii="Tahoma" w:hAnsi="Tahoma" w:cs="Tahoma"/>
          <w:sz w:val="22"/>
          <w:szCs w:val="22"/>
        </w:rPr>
      </w:pPr>
      <w:r w:rsidRPr="003B79EF">
        <w:rPr>
          <w:rFonts w:ascii="Tahoma" w:hAnsi="Tahoma" w:cs="Tahoma"/>
          <w:b/>
          <w:bCs/>
          <w:sz w:val="22"/>
          <w:szCs w:val="22"/>
        </w:rPr>
        <w:t>Citizen’s Alert:</w:t>
      </w:r>
      <w:r w:rsidRPr="003B79EF">
        <w:rPr>
          <w:rFonts w:ascii="Tahoma" w:hAnsi="Tahoma" w:cs="Tahoma"/>
          <w:sz w:val="22"/>
          <w:szCs w:val="22"/>
        </w:rPr>
        <w:t xml:space="preserve"> A west of Scotland CAB reports of a client who is a lone parent to two children who live with her. Client has prepayment meters for both gas and electricity and pays £240 per month. Client has asked the supplier to change over to credit meters, however they have stated they will only install a smart prepayment meter first and then consider a change to a credit meter. Client was looking for advice and information on making energy savings and home energy efficiency. </w:t>
      </w:r>
    </w:p>
    <w:p w14:paraId="70DD9240"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b/>
          <w:bCs/>
          <w:sz w:val="22"/>
          <w:szCs w:val="22"/>
        </w:rPr>
        <w:t>Question 6: Should the licence or guidance clearly state that installation of PPM under warrant is a ‘last resort’?</w:t>
      </w:r>
      <w:r w:rsidRPr="003B79EF">
        <w:rPr>
          <w:rFonts w:ascii="Tahoma" w:hAnsi="Tahoma" w:cs="Tahoma"/>
          <w:sz w:val="22"/>
          <w:szCs w:val="22"/>
        </w:rPr>
        <w:t> </w:t>
      </w:r>
    </w:p>
    <w:p w14:paraId="6A655494"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Installation of PPMs under warrant as a practice must stop. The suspension of forced installation of PPMs should be retained permanently. An assessment of the current moratorium should be carried out to assess the impact and outcomes of it on consumers and their debt management.  </w:t>
      </w:r>
    </w:p>
    <w:p w14:paraId="3331D4AA"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Again, ensuring existing conditions are adhered to must be better embedded. The “last resort” condition includes a requirement for a repayment plan to have failed. The Citizens Advice network in Scotland is seeing cases where clients have tried to negotiate repayment plans, but these have been refused by the supplier or where a client cannot get through to talk to a supplier. A client who is seeking to resolve the issue and is proposing an offer that is reasonable for their circumstances should not be penalised.  </w:t>
      </w:r>
    </w:p>
    <w:p w14:paraId="4F47A2CA" w14:textId="77777777" w:rsidR="003B79EF" w:rsidRPr="003B79EF" w:rsidRDefault="003B79EF" w:rsidP="00C87930">
      <w:pPr>
        <w:spacing w:afterLines="120" w:after="288"/>
        <w:ind w:left="567" w:right="701"/>
        <w:rPr>
          <w:rFonts w:ascii="Tahoma" w:hAnsi="Tahoma" w:cs="Tahoma"/>
          <w:sz w:val="22"/>
          <w:szCs w:val="22"/>
        </w:rPr>
      </w:pPr>
      <w:r w:rsidRPr="003B79EF">
        <w:rPr>
          <w:rFonts w:ascii="Tahoma" w:hAnsi="Tahoma" w:cs="Tahoma"/>
          <w:b/>
          <w:bCs/>
          <w:sz w:val="22"/>
          <w:szCs w:val="22"/>
        </w:rPr>
        <w:t>Citizen’s Alert:</w:t>
      </w:r>
      <w:r w:rsidRPr="003B79EF">
        <w:rPr>
          <w:rFonts w:ascii="Tahoma" w:hAnsi="Tahoma" w:cs="Tahoma"/>
          <w:sz w:val="22"/>
          <w:szCs w:val="22"/>
        </w:rPr>
        <w:t xml:space="preserve"> A west of Scotland CAB reports of a client who has received a letter from their supplier advising they are making an application to court to be able to fit a prepayment meter in her home. Client is on Universal Credit and Personal Independence Payment and needs to keep the house warm to help manage their health conditions. The client made a payment proposal of £20 p/m on top of usage, but the offer was refused, and they cannot afford to pay more than this. This offer was made on the basis that the client was paying £80 p/m for usage but when they spoke to the supplier, they advised monthly payments for usage were being increased to £150 p/m. The client cannot make any additional payment on top of this. </w:t>
      </w:r>
    </w:p>
    <w:p w14:paraId="60A4CC34"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b/>
          <w:bCs/>
          <w:sz w:val="22"/>
          <w:szCs w:val="22"/>
        </w:rPr>
        <w:lastRenderedPageBreak/>
        <w:t>Question 7: Our disconnection rules stress specific characteristics to be considered ahead of disconnection. Are these characteristics sufficient to account for the vulnerable circumstances being seen today?</w:t>
      </w:r>
      <w:r w:rsidRPr="003B79EF">
        <w:rPr>
          <w:rFonts w:ascii="Tahoma" w:hAnsi="Tahoma" w:cs="Tahoma"/>
          <w:sz w:val="22"/>
          <w:szCs w:val="22"/>
        </w:rPr>
        <w:t> </w:t>
      </w:r>
    </w:p>
    <w:p w14:paraId="45FA29D3"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The ongoing energy and cost of living crises have highlighted the vast range and diversity of consumers who have struggled to pay for energy and who have gone into debt as a result. The current list of characteristics is narrow in scope and covers limited circumstances. People who need to run essential medical equipment, store medicines, etc. are currently not covered. These costs run all year round so only protecting consumers during the winter months addresses a heating need, but not a daily, independent living need.  </w:t>
      </w:r>
    </w:p>
    <w:p w14:paraId="4C8CFF08"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b/>
          <w:bCs/>
          <w:sz w:val="22"/>
          <w:szCs w:val="22"/>
        </w:rPr>
        <w:t>Question 8: Do you consider that the rules for legacy and smart prepayment are appropriately aligned to ensure sufficient and equivalent protection, no matter the meter type? If not, what changes should be made?</w:t>
      </w:r>
      <w:r w:rsidRPr="003B79EF">
        <w:rPr>
          <w:rFonts w:ascii="Tahoma" w:hAnsi="Tahoma" w:cs="Tahoma"/>
          <w:sz w:val="22"/>
          <w:szCs w:val="22"/>
        </w:rPr>
        <w:t> </w:t>
      </w:r>
    </w:p>
    <w:p w14:paraId="79CC3B01" w14:textId="6A172B99"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While protections are there to prevent harm to people with existing significant mental health conditions in relation to forced entry it should be recognised that a forced entry into a person’s home is traumatic for everyone who experiences it. It could exacerbate existing mental health conditions not currently covered or exacerbate physical health conditions.  </w:t>
      </w:r>
    </w:p>
    <w:p w14:paraId="4D68D099"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It should be better recognised that remote switching, although not physically invasive, can be traumatic and consumers are left confused and distressed by the process. Both methods result in consumers being put in a situation where they can no longer spread payments over time and pay in advance. The outcomes are the same; greater financial difficulty, and the risk that consumers may no longer be able to heat and power their homes. </w:t>
      </w:r>
    </w:p>
    <w:p w14:paraId="21BDA22C" w14:textId="77777777" w:rsidR="003B79EF" w:rsidRPr="003B79EF" w:rsidRDefault="003B79EF" w:rsidP="00C87930">
      <w:pPr>
        <w:spacing w:afterLines="120" w:after="288"/>
        <w:ind w:left="567" w:right="843"/>
        <w:rPr>
          <w:rFonts w:ascii="Tahoma" w:hAnsi="Tahoma" w:cs="Tahoma"/>
          <w:sz w:val="22"/>
          <w:szCs w:val="22"/>
        </w:rPr>
      </w:pPr>
      <w:r w:rsidRPr="003B79EF">
        <w:rPr>
          <w:rFonts w:ascii="Tahoma" w:hAnsi="Tahoma" w:cs="Tahoma"/>
          <w:b/>
          <w:bCs/>
          <w:sz w:val="22"/>
          <w:szCs w:val="22"/>
        </w:rPr>
        <w:t>Citizen’s Alert:</w:t>
      </w:r>
      <w:r w:rsidRPr="003B79EF">
        <w:rPr>
          <w:rFonts w:ascii="Tahoma" w:hAnsi="Tahoma" w:cs="Tahoma"/>
          <w:sz w:val="22"/>
          <w:szCs w:val="22"/>
        </w:rPr>
        <w:t xml:space="preserve"> A south of Scotland CAB reports of a client, a pensioner, being switched to a prepayment meter without warning or consultation. The client reported that when he first moved into his current accommodation, he was receiving electricity bills for another address and he did not receive a bill for the correct account for some time, despite raising the issue with the supplier. A large debt had consequently accrued, to clear the debt he now pays £160/£170 every fortnight which leaves him little from his benefits to live on.  </w:t>
      </w:r>
    </w:p>
    <w:p w14:paraId="2E44A910"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The process for informing consumers under either scenario is inadequate. For consumers with legacy meters, switching to prepayment requires a warrant for entry to the property which goes through the Sheriff Court. That process fails to provide adequate safeguards for consumers who can be notified that a warrant has been applied for but are often not informed where or when that is taking place. For consumers with smart meters, however, suppliers can switch to prepay mode without the need for a court warrant.  </w:t>
      </w:r>
    </w:p>
    <w:p w14:paraId="4B114D60"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As stated, our position is that all activity on forced installation or switching of prepayment meters should be stopped, but we are concerned that there are even fewer safeguards in place for smart meter consumers, leaving potentially vulnerable households exposed.  </w:t>
      </w:r>
    </w:p>
    <w:p w14:paraId="26751566" w14:textId="77777777"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The process should allow adequate time for consumers to access independent advice and advocacy if necessary and time to lodge a dispute. Letters must be clear and concise on what is being proposed, the process and the consumer’s rights. The onus should be on the supplier to ensure the consumer is informed of their situation and communications should be in a prescribed format, with a timeline, to ensure consistency.  </w:t>
      </w:r>
    </w:p>
    <w:p w14:paraId="6BD41D0A" w14:textId="46BB0307" w:rsidR="003B79EF" w:rsidRPr="003B79EF" w:rsidRDefault="003B79EF" w:rsidP="00C87930">
      <w:pPr>
        <w:spacing w:afterLines="120" w:after="288"/>
        <w:ind w:left="567" w:right="843"/>
        <w:rPr>
          <w:rFonts w:ascii="Tahoma" w:hAnsi="Tahoma" w:cs="Tahoma"/>
          <w:sz w:val="22"/>
          <w:szCs w:val="22"/>
        </w:rPr>
      </w:pPr>
      <w:r w:rsidRPr="003B79EF">
        <w:rPr>
          <w:rFonts w:ascii="Tahoma" w:hAnsi="Tahoma" w:cs="Tahoma"/>
          <w:b/>
          <w:bCs/>
          <w:sz w:val="22"/>
          <w:szCs w:val="22"/>
        </w:rPr>
        <w:lastRenderedPageBreak/>
        <w:t>Citizen’s Alert:</w:t>
      </w:r>
      <w:r w:rsidRPr="003B79EF">
        <w:rPr>
          <w:rFonts w:ascii="Tahoma" w:hAnsi="Tahoma" w:cs="Tahoma"/>
          <w:sz w:val="22"/>
          <w:szCs w:val="22"/>
        </w:rPr>
        <w:t xml:space="preserve"> A north of Scotland CAB reports of a client who had fallen into significant arrears with her supplier. Further action was being threatened by the supplier; the client contacted them and agreed to accept a prepayment meter to prevent further action against her. No alternative options were offered, and the client was not signposted to an advice agency. The client offered to repay the debt via her prepayment meter at a rate of £15 per week. The client is a lone parent in receipt of a low income from Universal Credit and part-time employment. The client has mental health difficulties and is struggling to manage her account, in particular the debt recovery. </w:t>
      </w:r>
    </w:p>
    <w:p w14:paraId="77B57FBC" w14:textId="504A09A1" w:rsidR="003B79EF" w:rsidRPr="003B79EF" w:rsidRDefault="003B79EF" w:rsidP="003B79EF">
      <w:pPr>
        <w:spacing w:afterLines="120" w:after="288"/>
        <w:ind w:right="418"/>
        <w:rPr>
          <w:rFonts w:ascii="Tahoma" w:hAnsi="Tahoma" w:cs="Tahoma"/>
          <w:sz w:val="22"/>
          <w:szCs w:val="22"/>
        </w:rPr>
      </w:pPr>
      <w:r w:rsidRPr="003B79EF">
        <w:rPr>
          <w:rFonts w:ascii="Tahoma" w:hAnsi="Tahoma" w:cs="Tahoma"/>
          <w:b/>
          <w:bCs/>
          <w:sz w:val="22"/>
          <w:szCs w:val="22"/>
        </w:rPr>
        <w:t>Question 9: Suppliers are responsible for the acts of their contractors and their compliance with relevant licence conditions, but should we consider specific guidance for suppliers on how they manage third parties involved in the installation of PPMs?</w:t>
      </w:r>
      <w:r w:rsidRPr="003B79EF">
        <w:rPr>
          <w:rFonts w:ascii="Tahoma" w:hAnsi="Tahoma" w:cs="Tahoma"/>
          <w:sz w:val="22"/>
          <w:szCs w:val="22"/>
        </w:rPr>
        <w:t> </w:t>
      </w:r>
    </w:p>
    <w:p w14:paraId="50656FE7" w14:textId="2F1D3951" w:rsidR="003B79EF" w:rsidRPr="003B79EF" w:rsidRDefault="003B79EF" w:rsidP="003B79EF">
      <w:pPr>
        <w:spacing w:afterLines="120" w:after="288"/>
        <w:ind w:right="418"/>
        <w:rPr>
          <w:rFonts w:ascii="Tahoma" w:hAnsi="Tahoma" w:cs="Tahoma"/>
          <w:sz w:val="22"/>
          <w:szCs w:val="22"/>
        </w:rPr>
      </w:pPr>
      <w:r w:rsidRPr="003B79EF">
        <w:rPr>
          <w:rFonts w:ascii="Tahoma" w:hAnsi="Tahoma" w:cs="Tahoma"/>
          <w:sz w:val="22"/>
          <w:szCs w:val="22"/>
        </w:rPr>
        <w:t xml:space="preserve">The recent Times </w:t>
      </w:r>
      <w:r w:rsidR="007B7A59">
        <w:rPr>
          <w:rFonts w:ascii="Tahoma" w:hAnsi="Tahoma" w:cs="Tahoma"/>
          <w:sz w:val="22"/>
          <w:szCs w:val="22"/>
        </w:rPr>
        <w:t>investigation</w:t>
      </w:r>
      <w:r w:rsidRPr="003B79EF">
        <w:rPr>
          <w:rFonts w:ascii="Tahoma" w:hAnsi="Tahoma" w:cs="Tahoma"/>
          <w:sz w:val="22"/>
          <w:szCs w:val="22"/>
        </w:rPr>
        <w:t xml:space="preserve"> highlights the risk to consumers of third parties not adhering to the guidance the supplier is expected to comply with. It exposes a clear gap in understanding of the service being delivered and underlines the need for additional guidance and training.  </w:t>
      </w:r>
    </w:p>
    <w:p w14:paraId="6411B99C" w14:textId="77777777" w:rsidR="00690B3D" w:rsidRDefault="003B79EF" w:rsidP="003B79EF">
      <w:pPr>
        <w:spacing w:afterLines="120" w:after="288"/>
        <w:ind w:right="418"/>
        <w:rPr>
          <w:rFonts w:ascii="Tahoma" w:hAnsi="Tahoma" w:cs="Tahoma"/>
          <w:sz w:val="22"/>
          <w:szCs w:val="22"/>
        </w:rPr>
      </w:pPr>
      <w:r w:rsidRPr="003B79EF">
        <w:rPr>
          <w:rFonts w:ascii="Tahoma" w:hAnsi="Tahoma" w:cs="Tahoma"/>
          <w:sz w:val="22"/>
          <w:szCs w:val="22"/>
        </w:rPr>
        <w:t xml:space="preserve">CAS’s position is that Ofgem needs to be proactive in ensuring that all parties involved in installation practices are subject to the guidance. Ofgem should also be able to </w:t>
      </w:r>
      <w:proofErr w:type="gramStart"/>
      <w:r w:rsidRPr="003B79EF">
        <w:rPr>
          <w:rFonts w:ascii="Tahoma" w:hAnsi="Tahoma" w:cs="Tahoma"/>
          <w:sz w:val="22"/>
          <w:szCs w:val="22"/>
        </w:rPr>
        <w:t>take action</w:t>
      </w:r>
      <w:proofErr w:type="gramEnd"/>
      <w:r w:rsidRPr="003B79EF">
        <w:rPr>
          <w:rFonts w:ascii="Tahoma" w:hAnsi="Tahoma" w:cs="Tahoma"/>
          <w:sz w:val="22"/>
          <w:szCs w:val="22"/>
        </w:rPr>
        <w:t xml:space="preserve"> against both the supplier and third-party contractors for any failure to meet licence conditions. </w:t>
      </w:r>
    </w:p>
    <w:p w14:paraId="0BEDE682" w14:textId="77777777" w:rsidR="00690B3D" w:rsidRDefault="00690B3D" w:rsidP="003B79EF">
      <w:pPr>
        <w:spacing w:afterLines="120" w:after="288"/>
        <w:ind w:right="418"/>
        <w:rPr>
          <w:rFonts w:ascii="Tahoma" w:hAnsi="Tahoma" w:cs="Tahoma"/>
          <w:sz w:val="22"/>
          <w:szCs w:val="22"/>
        </w:rPr>
      </w:pPr>
    </w:p>
    <w:p w14:paraId="6D4620C4" w14:textId="77777777" w:rsidR="00690B3D" w:rsidRDefault="00690B3D" w:rsidP="00690B3D">
      <w:pPr>
        <w:ind w:right="420"/>
        <w:rPr>
          <w:rFonts w:ascii="Tahoma" w:hAnsi="Tahoma" w:cs="Tahoma"/>
          <w:sz w:val="22"/>
          <w:szCs w:val="22"/>
        </w:rPr>
      </w:pPr>
      <w:r>
        <w:rPr>
          <w:rFonts w:ascii="Tahoma" w:hAnsi="Tahoma" w:cs="Tahoma"/>
          <w:sz w:val="22"/>
          <w:szCs w:val="22"/>
        </w:rPr>
        <w:t>Stephanie Millar</w:t>
      </w:r>
    </w:p>
    <w:p w14:paraId="19BE9646" w14:textId="6C4CA446" w:rsidR="00690B3D" w:rsidRDefault="00690B3D" w:rsidP="00690B3D">
      <w:pPr>
        <w:ind w:right="420"/>
        <w:rPr>
          <w:rFonts w:ascii="Tahoma" w:hAnsi="Tahoma" w:cs="Tahoma"/>
          <w:sz w:val="22"/>
          <w:szCs w:val="22"/>
        </w:rPr>
      </w:pPr>
      <w:r>
        <w:rPr>
          <w:rFonts w:ascii="Tahoma" w:hAnsi="Tahoma" w:cs="Tahoma"/>
          <w:sz w:val="22"/>
          <w:szCs w:val="22"/>
        </w:rPr>
        <w:t>Social Justice Policy Manager</w:t>
      </w:r>
    </w:p>
    <w:p w14:paraId="5B306012" w14:textId="384E5C53" w:rsidR="003B79EF" w:rsidRPr="003B79EF" w:rsidRDefault="004F452A" w:rsidP="00690B3D">
      <w:pPr>
        <w:ind w:right="420"/>
        <w:rPr>
          <w:rFonts w:ascii="Tahoma" w:hAnsi="Tahoma" w:cs="Tahoma"/>
          <w:sz w:val="22"/>
          <w:szCs w:val="22"/>
        </w:rPr>
      </w:pPr>
      <w:hyperlink r:id="rId12" w:history="1">
        <w:r w:rsidR="00690B3D" w:rsidRPr="0033141E">
          <w:rPr>
            <w:rStyle w:val="Hyperlink"/>
            <w:rFonts w:ascii="Tahoma" w:hAnsi="Tahoma" w:cs="Tahoma"/>
            <w:sz w:val="22"/>
            <w:szCs w:val="22"/>
          </w:rPr>
          <w:t>stephanie.millar@cas.org.uk</w:t>
        </w:r>
      </w:hyperlink>
      <w:r w:rsidR="00690B3D">
        <w:rPr>
          <w:rFonts w:ascii="Tahoma" w:hAnsi="Tahoma" w:cs="Tahoma"/>
          <w:sz w:val="22"/>
          <w:szCs w:val="22"/>
        </w:rPr>
        <w:t xml:space="preserve"> </w:t>
      </w:r>
    </w:p>
    <w:p w14:paraId="605DB754" w14:textId="2AE83F34" w:rsidR="004577B4" w:rsidRPr="00372617" w:rsidRDefault="004577B4" w:rsidP="00372617">
      <w:pPr>
        <w:spacing w:afterLines="120" w:after="288"/>
        <w:ind w:right="418"/>
        <w:rPr>
          <w:rFonts w:ascii="Tahoma" w:hAnsi="Tahoma" w:cs="Tahoma"/>
          <w:sz w:val="22"/>
          <w:szCs w:val="22"/>
        </w:rPr>
      </w:pPr>
    </w:p>
    <w:p w14:paraId="7B408F9C" w14:textId="77777777" w:rsidR="004577B4" w:rsidRPr="00C87930" w:rsidRDefault="004577B4" w:rsidP="00C87930">
      <w:pPr>
        <w:spacing w:afterLines="40" w:after="96"/>
        <w:ind w:right="420"/>
        <w:rPr>
          <w:rFonts w:ascii="Tahoma" w:hAnsi="Tahoma" w:cs="Tahoma"/>
          <w:sz w:val="2"/>
          <w:szCs w:val="22"/>
        </w:rPr>
      </w:pPr>
    </w:p>
    <w:sectPr w:rsidR="004577B4" w:rsidRPr="00C87930" w:rsidSect="00581CEF">
      <w:headerReference w:type="default" r:id="rId13"/>
      <w:footerReference w:type="default" r:id="rId14"/>
      <w:type w:val="continuous"/>
      <w:pgSz w:w="11900" w:h="16840"/>
      <w:pgMar w:top="1418" w:right="567" w:bottom="567" w:left="1134"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B3E26" w14:textId="77777777" w:rsidR="00B066DC" w:rsidRDefault="00B066DC" w:rsidP="00BA624B">
      <w:r>
        <w:separator/>
      </w:r>
    </w:p>
  </w:endnote>
  <w:endnote w:type="continuationSeparator" w:id="0">
    <w:p w14:paraId="2999B6AD" w14:textId="77777777" w:rsidR="00B066DC" w:rsidRDefault="00B066DC" w:rsidP="00BA624B">
      <w:r>
        <w:continuationSeparator/>
      </w:r>
    </w:p>
  </w:endnote>
  <w:endnote w:type="continuationNotice" w:id="1">
    <w:p w14:paraId="114F8309" w14:textId="77777777" w:rsidR="00B066DC" w:rsidRDefault="00B06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S Me">
    <w:altName w:val="Franklin Gothic Medium Cond"/>
    <w:charset w:val="00"/>
    <w:family w:val="auto"/>
    <w:pitch w:val="variable"/>
    <w:sig w:usb0="00000001" w:usb1="4000204A" w:usb2="00000000" w:usb3="00000000" w:csb0="0000009B"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EC88" w14:textId="77777777" w:rsidR="00463BBA" w:rsidRDefault="00463BBA">
    <w:pPr>
      <w:pStyle w:val="Footer"/>
      <w:jc w:val="right"/>
    </w:pPr>
  </w:p>
  <w:sdt>
    <w:sdtPr>
      <w:id w:val="1590425349"/>
      <w:docPartObj>
        <w:docPartGallery w:val="Page Numbers (Bottom of Page)"/>
        <w:docPartUnique/>
      </w:docPartObj>
    </w:sdtPr>
    <w:sdtEndPr>
      <w:rPr>
        <w:rFonts w:ascii="Tahoma" w:hAnsi="Tahoma" w:cs="Tahoma"/>
        <w:b/>
        <w:noProof/>
        <w:color w:val="FFFFFF" w:themeColor="background1"/>
      </w:rPr>
    </w:sdtEndPr>
    <w:sdtContent>
      <w:p w14:paraId="21361200" w14:textId="77777777" w:rsidR="00463BBA" w:rsidRDefault="00463BBA">
        <w:pPr>
          <w:pStyle w:val="Footer"/>
          <w:jc w:val="right"/>
        </w:pPr>
        <w:r w:rsidRPr="00C82C28">
          <w:rPr>
            <w:rFonts w:ascii="Tahoma" w:hAnsi="Tahoma" w:cs="Tahoma"/>
            <w:b/>
            <w:noProof/>
            <w:color w:val="FFFFFF" w:themeColor="background1"/>
            <w:lang w:eastAsia="en-GB"/>
          </w:rPr>
          <w:drawing>
            <wp:anchor distT="0" distB="0" distL="114300" distR="114300" simplePos="0" relativeHeight="251658240" behindDoc="1" locked="0" layoutInCell="1" allowOverlap="1" wp14:anchorId="48B2A115" wp14:editId="07DA7DAC">
              <wp:simplePos x="0" y="0"/>
              <wp:positionH relativeFrom="column">
                <wp:posOffset>-745490</wp:posOffset>
              </wp:positionH>
              <wp:positionV relativeFrom="paragraph">
                <wp:posOffset>53975</wp:posOffset>
              </wp:positionV>
              <wp:extent cx="7988300" cy="158273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988300" cy="1582731"/>
                      </a:xfrm>
                      <a:prstGeom prst="rect">
                        <a:avLst/>
                      </a:prstGeom>
                    </pic:spPr>
                  </pic:pic>
                </a:graphicData>
              </a:graphic>
              <wp14:sizeRelH relativeFrom="page">
                <wp14:pctWidth>0</wp14:pctWidth>
              </wp14:sizeRelH>
              <wp14:sizeRelV relativeFrom="page">
                <wp14:pctHeight>0</wp14:pctHeight>
              </wp14:sizeRelV>
            </wp:anchor>
          </w:drawing>
        </w:r>
      </w:p>
      <w:p w14:paraId="325D3AEE" w14:textId="77777777" w:rsidR="00463BBA" w:rsidRDefault="00463BBA">
        <w:pPr>
          <w:pStyle w:val="Footer"/>
          <w:jc w:val="right"/>
        </w:pPr>
      </w:p>
      <w:p w14:paraId="3DAA8764" w14:textId="77777777" w:rsidR="00463BBA" w:rsidRDefault="00463BBA">
        <w:pPr>
          <w:pStyle w:val="Footer"/>
          <w:jc w:val="right"/>
        </w:pPr>
      </w:p>
      <w:p w14:paraId="5218D361" w14:textId="77777777" w:rsidR="00463BBA" w:rsidRDefault="00463BBA">
        <w:pPr>
          <w:pStyle w:val="Footer"/>
          <w:jc w:val="right"/>
        </w:pPr>
        <w:r>
          <w:rPr>
            <w:noProof/>
            <w:lang w:eastAsia="en-GB"/>
          </w:rPr>
          <mc:AlternateContent>
            <mc:Choice Requires="wps">
              <w:drawing>
                <wp:anchor distT="0" distB="0" distL="114300" distR="114300" simplePos="0" relativeHeight="251658242" behindDoc="0" locked="0" layoutInCell="1" allowOverlap="1" wp14:anchorId="6413D732" wp14:editId="68337D57">
                  <wp:simplePos x="0" y="0"/>
                  <wp:positionH relativeFrom="column">
                    <wp:posOffset>-412115</wp:posOffset>
                  </wp:positionH>
                  <wp:positionV relativeFrom="paragraph">
                    <wp:posOffset>60136</wp:posOffset>
                  </wp:positionV>
                  <wp:extent cx="6315075" cy="1829435"/>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829435"/>
                          </a:xfrm>
                          <a:prstGeom prst="rect">
                            <a:avLst/>
                          </a:prstGeom>
                          <a:noFill/>
                          <a:ln w="9525">
                            <a:noFill/>
                            <a:miter lim="800000"/>
                            <a:headEnd/>
                            <a:tailEnd/>
                          </a:ln>
                        </wps:spPr>
                        <wps:txbx>
                          <w:txbxContent>
                            <w:p w14:paraId="1A5C6D31" w14:textId="77777777" w:rsidR="00463BBA" w:rsidRPr="00885CDD" w:rsidRDefault="00463BBA" w:rsidP="00C4213B">
                              <w:pPr>
                                <w:spacing w:before="40"/>
                                <w:ind w:left="567"/>
                                <w:rPr>
                                  <w:rFonts w:ascii="Tahoma" w:hAnsi="Tahoma" w:cs="Tahoma"/>
                                  <w:color w:val="FFFFFF" w:themeColor="background1"/>
                                  <w:sz w:val="16"/>
                                  <w:szCs w:val="16"/>
                                </w:rPr>
                              </w:pPr>
                              <w:r w:rsidRPr="00885CDD">
                                <w:rPr>
                                  <w:rFonts w:ascii="Tahoma" w:hAnsi="Tahoma" w:cs="Tahoma"/>
                                  <w:color w:val="FFFFFF" w:themeColor="background1"/>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66D5AA92" w14:textId="77777777" w:rsidR="00463BBA" w:rsidRPr="00866F87" w:rsidRDefault="00463BBA" w:rsidP="00C4213B">
                              <w:pPr>
                                <w:rPr>
                                  <w:rFonts w:ascii="Tahoma" w:hAnsi="Tahoma" w:cs="Tahoma"/>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3D732" id="_x0000_t202" coordsize="21600,21600" o:spt="202" path="m,l,21600r21600,l21600,xe">
                  <v:stroke joinstyle="miter"/>
                  <v:path gradientshapeok="t" o:connecttype="rect"/>
                </v:shapetype>
                <v:shape id="Text Box 60" o:spid="_x0000_s1026" type="#_x0000_t202" style="position:absolute;left:0;text-align:left;margin-left:-32.45pt;margin-top:4.75pt;width:497.25pt;height:144.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9rq+gEAAM4DAAAOAAAAZHJzL2Uyb0RvYy54bWysU11v2yAUfZ+0/4B4X2yncZtYcaquXadJ&#10;3YfU7gcQjGM04DIgsbNf3wt202h9m+YHxPWFc+8597C+HrQiB+G8BFPTYpZTIgyHRppdTX8+3X9Y&#10;UuIDMw1TYERNj8LT6837d+veVmIOHahGOIIgxle9rWkXgq2yzPNOaOZnYIXBZAtOs4Ch22WNYz2i&#10;a5XN8/wy68E11gEX3uPfuzFJNwm/bQUP39vWi0BUTbG3kFaX1m1cs82aVTvHbCf51Ab7hy40kwaL&#10;nqDuWGBk7+QbKC25Aw9tmHHQGbSt5CJxQDZF/hebx45ZkbigON6eZPL/D5Z/OzzaH46E4SMMOMBE&#10;wtsH4L88MXDbMbMTN85B3wnWYOEiSpb11lfT1Si1r3wE2fZfocEhs32ABDS0TkdVkCdBdBzA8SS6&#10;GALh+PPyoijzq5ISjrliOV8tLspUg1Uv163z4bMATeKmpg6nmuDZ4cGH2A6rXo7EagbupVJpssqQ&#10;vqarcl6mC2cZLQMaT0ld02Uev9EKkeUn06TLgUk17rGAMhPtyHTkHIbtgAcj/S00RxTAwWgwfBC4&#10;6cD9oaRHc9XU/94zJyhRXwyKuCoWi+jGFCzKqzkG7jyzPc8wwxGqpoGScXsbkoNHrjcodiuTDK+d&#10;TL2iaZI6k8GjK8/jdOr1GW6eAQAA//8DAFBLAwQUAAYACAAAACEALVDiv90AAAAJAQAADwAAAGRy&#10;cy9kb3ducmV2LnhtbEyPwU7DMBBE70j8g7VI3FqbqA04ZFMhEFcQBSr15sbbJCJeR7HbhL/HnOA4&#10;mtHMm3Izu16caQydZ4SbpQJBXHvbcYPw8f68uAMRomFres+E8E0BNtXlRWkK6yd+o/M2NiKVcCgM&#10;QhvjUEgZ6pacCUs/ECfv6EdnYpJjI+1oplTuepkplUtnOk4LrRnosaX6a3tyCJ8vx/1upV6bJ7ce&#10;Jj8ryU5LxOur+eEeRKQ5/oXhFz+hQ5WYDv7ENogeYZGvdIoi6DWI5OtM5yAOCJm+zUFWpfz/oPoB&#10;AAD//wMAUEsBAi0AFAAGAAgAAAAhALaDOJL+AAAA4QEAABMAAAAAAAAAAAAAAAAAAAAAAFtDb250&#10;ZW50X1R5cGVzXS54bWxQSwECLQAUAAYACAAAACEAOP0h/9YAAACUAQAACwAAAAAAAAAAAAAAAAAv&#10;AQAAX3JlbHMvLnJlbHNQSwECLQAUAAYACAAAACEAD3va6voBAADOAwAADgAAAAAAAAAAAAAAAAAu&#10;AgAAZHJzL2Uyb0RvYy54bWxQSwECLQAUAAYACAAAACEALVDiv90AAAAJAQAADwAAAAAAAAAAAAAA&#10;AABUBAAAZHJzL2Rvd25yZXYueG1sUEsFBgAAAAAEAAQA8wAAAF4FAAAAAA==&#10;" filled="f" stroked="f">
                  <v:textbox>
                    <w:txbxContent>
                      <w:p w14:paraId="1A5C6D31" w14:textId="77777777" w:rsidR="00463BBA" w:rsidRPr="00885CDD" w:rsidRDefault="00463BBA" w:rsidP="00C4213B">
                        <w:pPr>
                          <w:spacing w:before="40"/>
                          <w:ind w:left="567"/>
                          <w:rPr>
                            <w:rFonts w:ascii="Tahoma" w:hAnsi="Tahoma" w:cs="Tahoma"/>
                            <w:color w:val="FFFFFF" w:themeColor="background1"/>
                            <w:sz w:val="16"/>
                            <w:szCs w:val="16"/>
                          </w:rPr>
                        </w:pPr>
                        <w:r w:rsidRPr="00885CDD">
                          <w:rPr>
                            <w:rFonts w:ascii="Tahoma" w:hAnsi="Tahoma" w:cs="Tahoma"/>
                            <w:color w:val="FFFFFF" w:themeColor="background1"/>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66D5AA92" w14:textId="77777777" w:rsidR="00463BBA" w:rsidRPr="00866F87" w:rsidRDefault="00463BBA" w:rsidP="00C4213B">
                        <w:pPr>
                          <w:rPr>
                            <w:rFonts w:ascii="Tahoma" w:hAnsi="Tahoma" w:cs="Tahoma"/>
                            <w:color w:val="FFFFFF" w:themeColor="background1"/>
                            <w:sz w:val="20"/>
                            <w:szCs w:val="20"/>
                          </w:rPr>
                        </w:pPr>
                      </w:p>
                    </w:txbxContent>
                  </v:textbox>
                </v:shape>
              </w:pict>
            </mc:Fallback>
          </mc:AlternateContent>
        </w:r>
      </w:p>
      <w:p w14:paraId="1D721817" w14:textId="77777777" w:rsidR="00463BBA" w:rsidRPr="00C82C28" w:rsidRDefault="00463BBA">
        <w:pPr>
          <w:pStyle w:val="Footer"/>
          <w:jc w:val="right"/>
          <w:rPr>
            <w:rFonts w:ascii="Tahoma" w:hAnsi="Tahoma" w:cs="Tahoma"/>
            <w:b/>
            <w:color w:val="FFFFFF" w:themeColor="background1"/>
          </w:rPr>
        </w:pPr>
        <w:r w:rsidRPr="008136E5">
          <w:rPr>
            <w:rFonts w:ascii="Tahoma" w:hAnsi="Tahoma" w:cs="Tahoma"/>
            <w:b/>
            <w:color w:val="FFFFFF" w:themeColor="background1"/>
            <w:vertAlign w:val="subscript"/>
          </w:rPr>
          <w:fldChar w:fldCharType="begin"/>
        </w:r>
        <w:r w:rsidRPr="008136E5">
          <w:rPr>
            <w:rFonts w:ascii="Tahoma" w:hAnsi="Tahoma" w:cs="Tahoma"/>
            <w:b/>
            <w:color w:val="FFFFFF" w:themeColor="background1"/>
            <w:vertAlign w:val="subscript"/>
          </w:rPr>
          <w:instrText xml:space="preserve"> PAGE   \* MERGEFORMAT </w:instrText>
        </w:r>
        <w:r w:rsidRPr="008136E5">
          <w:rPr>
            <w:rFonts w:ascii="Tahoma" w:hAnsi="Tahoma" w:cs="Tahoma"/>
            <w:b/>
            <w:color w:val="FFFFFF" w:themeColor="background1"/>
            <w:vertAlign w:val="subscript"/>
          </w:rPr>
          <w:fldChar w:fldCharType="separate"/>
        </w:r>
        <w:r w:rsidR="00372617">
          <w:rPr>
            <w:rFonts w:ascii="Tahoma" w:hAnsi="Tahoma" w:cs="Tahoma"/>
            <w:b/>
            <w:noProof/>
            <w:color w:val="FFFFFF" w:themeColor="background1"/>
            <w:vertAlign w:val="subscript"/>
          </w:rPr>
          <w:t>1</w:t>
        </w:r>
        <w:r w:rsidRPr="008136E5">
          <w:rPr>
            <w:rFonts w:ascii="Tahoma" w:hAnsi="Tahoma" w:cs="Tahoma"/>
            <w:b/>
            <w:noProof/>
            <w:color w:val="FFFFFF" w:themeColor="background1"/>
            <w:vertAlign w:val="subscript"/>
          </w:rPr>
          <w:fldChar w:fldCharType="end"/>
        </w:r>
      </w:p>
    </w:sdtContent>
  </w:sdt>
  <w:p w14:paraId="3D12FAC1" w14:textId="77777777" w:rsidR="00463BBA" w:rsidRPr="004B06F5" w:rsidRDefault="00463BBA" w:rsidP="004B06F5">
    <w:pPr>
      <w:pStyle w:val="Footer"/>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DDB09" w14:textId="77777777" w:rsidR="00B066DC" w:rsidRDefault="00B066DC" w:rsidP="00BA624B">
      <w:r>
        <w:separator/>
      </w:r>
    </w:p>
  </w:footnote>
  <w:footnote w:type="continuationSeparator" w:id="0">
    <w:p w14:paraId="47181731" w14:textId="77777777" w:rsidR="00B066DC" w:rsidRDefault="00B066DC" w:rsidP="00BA624B">
      <w:r>
        <w:continuationSeparator/>
      </w:r>
    </w:p>
  </w:footnote>
  <w:footnote w:type="continuationNotice" w:id="1">
    <w:p w14:paraId="4DFE6D68" w14:textId="77777777" w:rsidR="00B066DC" w:rsidRDefault="00B066DC"/>
  </w:footnote>
  <w:footnote w:id="2">
    <w:p w14:paraId="178E6746" w14:textId="60DE9635" w:rsidR="00010E3C" w:rsidRDefault="00010E3C">
      <w:pPr>
        <w:pStyle w:val="FootnoteText"/>
      </w:pPr>
      <w:r>
        <w:rPr>
          <w:rStyle w:val="FootnoteReference"/>
        </w:rPr>
        <w:footnoteRef/>
      </w:r>
      <w:r>
        <w:t xml:space="preserve"> </w:t>
      </w:r>
      <w:r>
        <w:rPr>
          <w:rStyle w:val="normaltextrun"/>
          <w:rFonts w:ascii="Calibri" w:hAnsi="Calibri" w:cs="Calibri"/>
          <w:color w:val="000000"/>
          <w:shd w:val="clear" w:color="auto" w:fill="FFFFFF"/>
        </w:rPr>
        <w:t> The Scottish Welfare Fund supports people in crisis and on low incomes and people who need help to live independently in the community. </w:t>
      </w:r>
      <w:hyperlink r:id="rId1" w:tgtFrame="_blank" w:history="1">
        <w:r>
          <w:rPr>
            <w:rStyle w:val="normaltextrun"/>
            <w:rFonts w:ascii="Calibri" w:hAnsi="Calibri" w:cs="Calibri"/>
            <w:color w:val="0563C1"/>
            <w:u w:val="single"/>
            <w:shd w:val="clear" w:color="auto" w:fill="FFFFFF"/>
          </w:rPr>
          <w:t>Scottish Welfare Fund - overview - Citizens Advice Scotland</w:t>
        </w:r>
      </w:hyperlink>
    </w:p>
  </w:footnote>
  <w:footnote w:id="3">
    <w:p w14:paraId="198298A1" w14:textId="0BA9F2C8" w:rsidR="006C5D43" w:rsidRDefault="006C5D43">
      <w:pPr>
        <w:pStyle w:val="FootnoteText"/>
      </w:pPr>
      <w:r>
        <w:rPr>
          <w:rStyle w:val="FootnoteReference"/>
        </w:rPr>
        <w:footnoteRef/>
      </w:r>
      <w:r>
        <w:t xml:space="preserve"> A client’s ill health or disability status is only recorded if they disclose this and it’s relevant to the advice. This means the number of people recorded as being disabled will be lower than those who identify as such. </w:t>
      </w:r>
    </w:p>
  </w:footnote>
  <w:footnote w:id="4">
    <w:p w14:paraId="552E58F4" w14:textId="56A34E7D" w:rsidR="006C5D43" w:rsidRDefault="006C5D43">
      <w:pPr>
        <w:pStyle w:val="FootnoteText"/>
      </w:pPr>
      <w:r>
        <w:rPr>
          <w:rStyle w:val="FootnoteReference"/>
        </w:rPr>
        <w:footnoteRef/>
      </w:r>
      <w:r>
        <w:t xml:space="preserve"> </w:t>
      </w:r>
      <w:r>
        <w:rPr>
          <w:rStyle w:val="normaltextrun"/>
          <w:rFonts w:ascii="Calibri" w:hAnsi="Calibri" w:cs="Calibri"/>
          <w:color w:val="000000"/>
          <w:bdr w:val="none" w:sz="0" w:space="0" w:color="auto" w:frame="1"/>
        </w:rPr>
        <w:t>Standard conditions of electricity supply licence Condition 0.1, 0.3d</w:t>
      </w:r>
    </w:p>
  </w:footnote>
  <w:footnote w:id="5">
    <w:p w14:paraId="15C95C54" w14:textId="748926B3" w:rsidR="006C5D43" w:rsidRDefault="006C5D43">
      <w:pPr>
        <w:pStyle w:val="FootnoteText"/>
      </w:pPr>
      <w:r>
        <w:rPr>
          <w:rStyle w:val="FootnoteReference"/>
        </w:rPr>
        <w:footnoteRef/>
      </w:r>
      <w:r>
        <w:t xml:space="preserve"> </w:t>
      </w:r>
      <w:r>
        <w:rPr>
          <w:rStyle w:val="normaltextrun"/>
          <w:rFonts w:ascii="Calibri" w:hAnsi="Calibri" w:cs="Calibri"/>
          <w:color w:val="000000"/>
          <w:bdr w:val="none" w:sz="0" w:space="0" w:color="auto" w:frame="1"/>
        </w:rPr>
        <w:t>Standard conditions of electricity supply licence Condition 0.9</w:t>
      </w:r>
    </w:p>
  </w:footnote>
  <w:footnote w:id="6">
    <w:p w14:paraId="42733936" w14:textId="5C5695DF" w:rsidR="006C5D43" w:rsidRDefault="006C5D43">
      <w:pPr>
        <w:pStyle w:val="FootnoteText"/>
      </w:pPr>
      <w:r>
        <w:rPr>
          <w:rStyle w:val="FootnoteReference"/>
        </w:rPr>
        <w:footnoteRef/>
      </w:r>
      <w:r>
        <w:t xml:space="preserve"> </w:t>
      </w:r>
      <w:hyperlink r:id="rId2" w:tgtFrame="_blank" w:history="1">
        <w:r>
          <w:rPr>
            <w:rStyle w:val="normaltextrun"/>
            <w:rFonts w:ascii="Calibri" w:hAnsi="Calibri" w:cs="Calibri"/>
            <w:color w:val="0563C1"/>
            <w:u w:val="single"/>
            <w:shd w:val="clear" w:color="auto" w:fill="FFFFFF"/>
          </w:rPr>
          <w:t>The Social Model of Disability - Inclusion Scotland</w:t>
        </w:r>
      </w:hyperlink>
    </w:p>
  </w:footnote>
  <w:footnote w:id="7">
    <w:p w14:paraId="7B25EDF3" w14:textId="40605ED1" w:rsidR="00186CEF" w:rsidRDefault="00186CEF">
      <w:pPr>
        <w:pStyle w:val="FootnoteText"/>
      </w:pPr>
      <w:r>
        <w:rPr>
          <w:rStyle w:val="FootnoteReference"/>
        </w:rPr>
        <w:footnoteRef/>
      </w:r>
      <w:r>
        <w:t xml:space="preserve"> </w:t>
      </w:r>
      <w:r w:rsidR="00F10193">
        <w:t xml:space="preserve">An extension of the call recently made by Ofgem </w:t>
      </w:r>
      <w:hyperlink r:id="rId3" w:anchor=":~:text=Ofgem%20CEO%2C%20Jonathan%20Brearley%2C%20has%20also%20called%20on,where%20the%20strict%20rules%20have%20not%20been%20followed." w:tgtFrame="_blank" w:history="1">
        <w:r>
          <w:rPr>
            <w:rStyle w:val="normaltextrun"/>
            <w:rFonts w:ascii="Calibri" w:hAnsi="Calibri" w:cs="Calibri"/>
            <w:color w:val="0563C1"/>
            <w:u w:val="single"/>
            <w:shd w:val="clear" w:color="auto" w:fill="FFFFFF"/>
          </w:rPr>
          <w:t>Energy regulator outlines next steps on forced Prepayment Meter (PPM) installations | Ofgem</w:t>
        </w:r>
      </w:hyperlink>
    </w:p>
  </w:footnote>
  <w:footnote w:id="8">
    <w:p w14:paraId="23149093" w14:textId="7CEE1A3F" w:rsidR="00186CEF" w:rsidRDefault="00186CEF">
      <w:pPr>
        <w:pStyle w:val="FootnoteText"/>
      </w:pPr>
      <w:r>
        <w:rPr>
          <w:rStyle w:val="FootnoteReference"/>
        </w:rPr>
        <w:footnoteRef/>
      </w:r>
      <w:r>
        <w:t xml:space="preserve"> </w:t>
      </w:r>
      <w:hyperlink r:id="rId4" w:tgtFrame="_blank" w:history="1">
        <w:r>
          <w:rPr>
            <w:rStyle w:val="normaltextrun"/>
            <w:rFonts w:ascii="Calibri" w:hAnsi="Calibri" w:cs="Calibri"/>
            <w:color w:val="0563C1"/>
            <w:u w:val="single"/>
            <w:shd w:val="clear" w:color="auto" w:fill="FFFFFF"/>
          </w:rPr>
          <w:t>Guidance for firms on the fair treatment of vulnerable consumers | FCA</w:t>
        </w:r>
      </w:hyperlink>
      <w:r>
        <w:rPr>
          <w:rStyle w:val="eop"/>
          <w:rFonts w:ascii="Calibri" w:hAnsi="Calibri" w:cs="Calibri"/>
          <w:color w:val="000000"/>
          <w:shd w:val="clear" w:color="auto" w:fill="FFFFFF"/>
        </w:rPr>
        <w:t> </w:t>
      </w:r>
    </w:p>
  </w:footnote>
  <w:footnote w:id="9">
    <w:p w14:paraId="078B2078" w14:textId="0E4E41A3" w:rsidR="00186CEF" w:rsidRDefault="00186CEF">
      <w:pPr>
        <w:pStyle w:val="FootnoteText"/>
      </w:pPr>
      <w:r>
        <w:rPr>
          <w:rStyle w:val="FootnoteReference"/>
        </w:rPr>
        <w:footnoteRef/>
      </w:r>
      <w:r>
        <w:t xml:space="preserve"> </w:t>
      </w:r>
      <w:hyperlink r:id="rId5" w:tgtFrame="_blank" w:history="1">
        <w:r>
          <w:rPr>
            <w:rStyle w:val="normaltextrun"/>
            <w:rFonts w:ascii="Calibri" w:hAnsi="Calibri" w:cs="Calibri"/>
            <w:color w:val="0563C1"/>
            <w:u w:val="single"/>
            <w:shd w:val="clear" w:color="auto" w:fill="FFFFFF"/>
          </w:rPr>
          <w:t>Scottish House Condition Survey: 2019 Key Findings (www.gov.scot)</w:t>
        </w:r>
      </w:hyperlink>
      <w:r>
        <w:rPr>
          <w:rStyle w:val="normaltextrun"/>
          <w:rFonts w:ascii="Calibri" w:hAnsi="Calibri" w:cs="Calibri"/>
          <w:color w:val="000000"/>
          <w:shd w:val="clear" w:color="auto" w:fill="FFFFFF"/>
        </w:rPr>
        <w:t> p5</w:t>
      </w:r>
    </w:p>
  </w:footnote>
  <w:footnote w:id="10">
    <w:p w14:paraId="04D94277" w14:textId="77777777" w:rsidR="00186CEF" w:rsidRDefault="00186CEF" w:rsidP="00186CEF">
      <w:pPr>
        <w:pStyle w:val="FootnoteText"/>
      </w:pPr>
      <w:r>
        <w:rPr>
          <w:rStyle w:val="FootnoteReference"/>
        </w:rPr>
        <w:footnoteRef/>
      </w:r>
      <w:r>
        <w:t xml:space="preserve"> </w:t>
      </w:r>
      <w:hyperlink r:id="rId6" w:tgtFrame="_blank" w:history="1">
        <w:r>
          <w:rPr>
            <w:rStyle w:val="normaltextrun"/>
            <w:rFonts w:ascii="Calibri" w:hAnsi="Calibri" w:cs="Calibri"/>
            <w:color w:val="0563C1"/>
            <w:u w:val="single"/>
            <w:shd w:val="clear" w:color="auto" w:fill="FFFFFF"/>
          </w:rPr>
          <w:t>Tackling fuel poverty in Scotland: a strategic approach - gov.scot (www.gov.scot)</w:t>
        </w:r>
      </w:hyperlink>
    </w:p>
  </w:footnote>
  <w:footnote w:id="11">
    <w:p w14:paraId="75ACD2AB" w14:textId="2C7B37B7" w:rsidR="00186CEF" w:rsidRDefault="00186CEF">
      <w:pPr>
        <w:pStyle w:val="FootnoteText"/>
      </w:pPr>
      <w:r>
        <w:rPr>
          <w:rStyle w:val="FootnoteReference"/>
        </w:rPr>
        <w:footnoteRef/>
      </w:r>
      <w:r>
        <w:t xml:space="preserve"> </w:t>
      </w:r>
      <w:hyperlink r:id="rId7" w:tgtFrame="_blank" w:history="1">
        <w:r>
          <w:rPr>
            <w:rStyle w:val="normaltextrun"/>
            <w:rFonts w:ascii="Calibri" w:hAnsi="Calibri" w:cs="Calibri"/>
            <w:color w:val="0563C1"/>
            <w:u w:val="single"/>
            <w:shd w:val="clear" w:color="auto" w:fill="FFFFFF"/>
          </w:rPr>
          <w:t>Fuel Poverty (Targets, Definition and Strategy) (Scotland) Act 2019 (legislation.gov.uk)</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02E2" w14:textId="77777777" w:rsidR="00463BBA" w:rsidRPr="00B26906" w:rsidRDefault="00463BBA">
    <w:pPr>
      <w:pStyle w:val="Header"/>
      <w:rPr>
        <w:rFonts w:asciiTheme="majorHAnsi" w:hAnsiTheme="majorHAnsi"/>
      </w:rPr>
    </w:pPr>
    <w:r w:rsidRPr="00B26906">
      <w:rPr>
        <w:rFonts w:asciiTheme="majorHAnsi" w:hAnsiTheme="majorHAnsi" w:cs="Tahoma"/>
        <w:noProof/>
        <w:color w:val="000000" w:themeColor="text1"/>
        <w:sz w:val="18"/>
        <w:szCs w:val="18"/>
        <w:lang w:eastAsia="en-GB"/>
      </w:rPr>
      <w:drawing>
        <wp:anchor distT="0" distB="0" distL="114300" distR="114300" simplePos="0" relativeHeight="251658241" behindDoc="0" locked="0" layoutInCell="1" allowOverlap="1" wp14:anchorId="1079E708" wp14:editId="2FA0D907">
          <wp:simplePos x="0" y="0"/>
          <wp:positionH relativeFrom="column">
            <wp:posOffset>5697220</wp:posOffset>
          </wp:positionH>
          <wp:positionV relativeFrom="paragraph">
            <wp:posOffset>-99695</wp:posOffset>
          </wp:positionV>
          <wp:extent cx="838200" cy="8382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 logo RGB.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0AB8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2E91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7E4D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5BAC4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2307F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008C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448E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E815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ECFE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A67F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D3EFB"/>
    <w:multiLevelType w:val="hybridMultilevel"/>
    <w:tmpl w:val="EC3672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360C46"/>
    <w:multiLevelType w:val="hybridMultilevel"/>
    <w:tmpl w:val="1A2A2B32"/>
    <w:lvl w:ilvl="0" w:tplc="C8ACE210">
      <w:start w:val="1"/>
      <w:numFmt w:val="bullet"/>
      <w:lvlText w:val="›"/>
      <w:lvlJc w:val="left"/>
      <w:pPr>
        <w:ind w:left="1080" w:hanging="360"/>
      </w:pPr>
      <w:rPr>
        <w:rFonts w:ascii="Tahoma" w:hAnsi="Tahoma" w:hint="default"/>
        <w:b/>
        <w:color w:val="008D9B"/>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52C181D"/>
    <w:multiLevelType w:val="hybridMultilevel"/>
    <w:tmpl w:val="4364B3A6"/>
    <w:lvl w:ilvl="0" w:tplc="C8ACE210">
      <w:start w:val="1"/>
      <w:numFmt w:val="bullet"/>
      <w:lvlText w:val="›"/>
      <w:lvlJc w:val="left"/>
      <w:pPr>
        <w:ind w:left="1080" w:hanging="360"/>
      </w:pPr>
      <w:rPr>
        <w:rFonts w:ascii="Tahoma" w:hAnsi="Tahoma" w:hint="default"/>
        <w:b/>
        <w:color w:val="008D9B"/>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6C02E10"/>
    <w:multiLevelType w:val="hybridMultilevel"/>
    <w:tmpl w:val="BF0A53AA"/>
    <w:lvl w:ilvl="0" w:tplc="C8ACE210">
      <w:start w:val="1"/>
      <w:numFmt w:val="bullet"/>
      <w:lvlText w:val="›"/>
      <w:lvlJc w:val="left"/>
      <w:pPr>
        <w:ind w:left="1080" w:hanging="360"/>
      </w:pPr>
      <w:rPr>
        <w:rFonts w:ascii="Tahoma" w:hAnsi="Tahoma" w:hint="default"/>
        <w:b/>
        <w:color w:val="008D9B"/>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7F73E22"/>
    <w:multiLevelType w:val="hybridMultilevel"/>
    <w:tmpl w:val="B630C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F8A6424"/>
    <w:multiLevelType w:val="hybridMultilevel"/>
    <w:tmpl w:val="F8A8F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F2574F"/>
    <w:multiLevelType w:val="hybridMultilevel"/>
    <w:tmpl w:val="95E88D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771CEC"/>
    <w:multiLevelType w:val="multilevel"/>
    <w:tmpl w:val="8FB6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2F90B51"/>
    <w:multiLevelType w:val="hybridMultilevel"/>
    <w:tmpl w:val="920E8814"/>
    <w:lvl w:ilvl="0" w:tplc="C71AD250">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733EF6"/>
    <w:multiLevelType w:val="hybridMultilevel"/>
    <w:tmpl w:val="ABF2E384"/>
    <w:lvl w:ilvl="0" w:tplc="299A3D1C">
      <w:start w:val="1"/>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164C38"/>
    <w:multiLevelType w:val="hybridMultilevel"/>
    <w:tmpl w:val="8F647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BE1AC9"/>
    <w:multiLevelType w:val="hybridMultilevel"/>
    <w:tmpl w:val="8F2AE08E"/>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065884"/>
    <w:multiLevelType w:val="hybridMultilevel"/>
    <w:tmpl w:val="EF0AEEEE"/>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643F7D"/>
    <w:multiLevelType w:val="hybridMultilevel"/>
    <w:tmpl w:val="C06C9622"/>
    <w:lvl w:ilvl="0" w:tplc="C71AD250">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9706F2"/>
    <w:multiLevelType w:val="multilevel"/>
    <w:tmpl w:val="3A8A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F836FC"/>
    <w:multiLevelType w:val="multilevel"/>
    <w:tmpl w:val="53DC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7D2AF6"/>
    <w:multiLevelType w:val="hybridMultilevel"/>
    <w:tmpl w:val="A41C7612"/>
    <w:lvl w:ilvl="0" w:tplc="C8ACE210">
      <w:start w:val="1"/>
      <w:numFmt w:val="bullet"/>
      <w:lvlText w:val="›"/>
      <w:lvlJc w:val="left"/>
      <w:pPr>
        <w:ind w:left="1080" w:hanging="360"/>
      </w:pPr>
      <w:rPr>
        <w:rFonts w:ascii="Tahoma" w:hAnsi="Tahoma" w:hint="default"/>
        <w:b/>
        <w:color w:val="008D9B"/>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4DD0551"/>
    <w:multiLevelType w:val="hybridMultilevel"/>
    <w:tmpl w:val="42CAC5C2"/>
    <w:lvl w:ilvl="0" w:tplc="1A66029C">
      <w:start w:val="2"/>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8A6B48"/>
    <w:multiLevelType w:val="hybridMultilevel"/>
    <w:tmpl w:val="0508729A"/>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0B6BC7"/>
    <w:multiLevelType w:val="hybridMultilevel"/>
    <w:tmpl w:val="1FEE5822"/>
    <w:lvl w:ilvl="0" w:tplc="6A54AEC2">
      <w:start w:val="1"/>
      <w:numFmt w:val="bullet"/>
      <w:lvlText w:val="›"/>
      <w:lvlJc w:val="left"/>
      <w:pPr>
        <w:ind w:left="720" w:hanging="360"/>
      </w:pPr>
      <w:rPr>
        <w:rFonts w:ascii="Tahoma" w:hAnsi="Tahoma" w:hint="default"/>
        <w:b/>
        <w:color w:val="008D9B"/>
        <w:sz w:val="32"/>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430FDA"/>
    <w:multiLevelType w:val="hybridMultilevel"/>
    <w:tmpl w:val="BCF48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0F1FAF"/>
    <w:multiLevelType w:val="multilevel"/>
    <w:tmpl w:val="8380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E9666A"/>
    <w:multiLevelType w:val="hybridMultilevel"/>
    <w:tmpl w:val="BD50295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83F04E7"/>
    <w:multiLevelType w:val="multilevel"/>
    <w:tmpl w:val="6F74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1E6165"/>
    <w:multiLevelType w:val="hybridMultilevel"/>
    <w:tmpl w:val="5238B6E8"/>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BB3ABF"/>
    <w:multiLevelType w:val="hybridMultilevel"/>
    <w:tmpl w:val="BE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D32F51"/>
    <w:multiLevelType w:val="hybridMultilevel"/>
    <w:tmpl w:val="254C3FF8"/>
    <w:lvl w:ilvl="0" w:tplc="A5FEAC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FA6A57"/>
    <w:multiLevelType w:val="hybridMultilevel"/>
    <w:tmpl w:val="C09E2684"/>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3A0663"/>
    <w:multiLevelType w:val="hybridMultilevel"/>
    <w:tmpl w:val="6F80EB3A"/>
    <w:lvl w:ilvl="0" w:tplc="1A66029C">
      <w:start w:val="2"/>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DB454B"/>
    <w:multiLevelType w:val="hybridMultilevel"/>
    <w:tmpl w:val="00ECD8AC"/>
    <w:lvl w:ilvl="0" w:tplc="FAAAFCBE">
      <w:start w:val="1"/>
      <w:numFmt w:val="decimal"/>
      <w:lvlText w:val="%1."/>
      <w:lvlJc w:val="left"/>
      <w:pPr>
        <w:ind w:left="720" w:hanging="360"/>
      </w:pPr>
      <w:rPr>
        <w:b/>
        <w:color w:val="008D9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60131C"/>
    <w:multiLevelType w:val="hybridMultilevel"/>
    <w:tmpl w:val="B0C04C04"/>
    <w:lvl w:ilvl="0" w:tplc="6A54AEC2">
      <w:start w:val="1"/>
      <w:numFmt w:val="bullet"/>
      <w:lvlText w:val="›"/>
      <w:lvlJc w:val="left"/>
      <w:pPr>
        <w:ind w:left="720" w:hanging="360"/>
      </w:pPr>
      <w:rPr>
        <w:rFonts w:ascii="Tahoma" w:hAnsi="Tahoma" w:hint="default"/>
        <w:b/>
        <w:color w:val="008D9B"/>
        <w:sz w:val="3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055BC"/>
    <w:multiLevelType w:val="hybridMultilevel"/>
    <w:tmpl w:val="C7966154"/>
    <w:lvl w:ilvl="0" w:tplc="6A54AEC2">
      <w:start w:val="1"/>
      <w:numFmt w:val="bullet"/>
      <w:lvlText w:val="›"/>
      <w:lvlJc w:val="left"/>
      <w:pPr>
        <w:ind w:left="720" w:hanging="360"/>
      </w:pPr>
      <w:rPr>
        <w:rFonts w:ascii="Tahoma" w:hAnsi="Tahoma" w:hint="default"/>
        <w:b/>
        <w:color w:val="008D9B"/>
        <w:sz w:val="32"/>
        <w:szCs w:val="24"/>
      </w:rPr>
    </w:lvl>
    <w:lvl w:ilvl="1" w:tplc="6A54AEC2">
      <w:start w:val="1"/>
      <w:numFmt w:val="bullet"/>
      <w:lvlText w:val="›"/>
      <w:lvlJc w:val="left"/>
      <w:pPr>
        <w:ind w:left="1440" w:hanging="360"/>
      </w:pPr>
      <w:rPr>
        <w:rFonts w:ascii="Tahoma" w:hAnsi="Tahoma" w:hint="default"/>
        <w:b/>
        <w:color w:val="008D9B"/>
        <w:sz w:val="32"/>
        <w:szCs w:val="24"/>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A83EB9"/>
    <w:multiLevelType w:val="hybridMultilevel"/>
    <w:tmpl w:val="CB2CFB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DD2ECE"/>
    <w:multiLevelType w:val="multilevel"/>
    <w:tmpl w:val="C70C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8A2B66"/>
    <w:multiLevelType w:val="hybridMultilevel"/>
    <w:tmpl w:val="65B2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148943">
    <w:abstractNumId w:val="36"/>
  </w:num>
  <w:num w:numId="2" w16cid:durableId="1129587337">
    <w:abstractNumId w:val="14"/>
  </w:num>
  <w:num w:numId="3" w16cid:durableId="21250213">
    <w:abstractNumId w:val="16"/>
  </w:num>
  <w:num w:numId="4" w16cid:durableId="840390196">
    <w:abstractNumId w:val="20"/>
  </w:num>
  <w:num w:numId="5" w16cid:durableId="1186559147">
    <w:abstractNumId w:val="44"/>
  </w:num>
  <w:num w:numId="6" w16cid:durableId="282812796">
    <w:abstractNumId w:val="10"/>
  </w:num>
  <w:num w:numId="7" w16cid:durableId="1313677541">
    <w:abstractNumId w:val="30"/>
  </w:num>
  <w:num w:numId="8" w16cid:durableId="544366969">
    <w:abstractNumId w:val="35"/>
  </w:num>
  <w:num w:numId="9" w16cid:durableId="1113088689">
    <w:abstractNumId w:val="15"/>
  </w:num>
  <w:num w:numId="10" w16cid:durableId="1301113984">
    <w:abstractNumId w:val="22"/>
  </w:num>
  <w:num w:numId="11" w16cid:durableId="118837917">
    <w:abstractNumId w:val="23"/>
  </w:num>
  <w:num w:numId="12" w16cid:durableId="1570842156">
    <w:abstractNumId w:val="32"/>
  </w:num>
  <w:num w:numId="13" w16cid:durableId="950816367">
    <w:abstractNumId w:val="18"/>
  </w:num>
  <w:num w:numId="14" w16cid:durableId="1741975557">
    <w:abstractNumId w:val="34"/>
  </w:num>
  <w:num w:numId="15" w16cid:durableId="1861699852">
    <w:abstractNumId w:val="28"/>
  </w:num>
  <w:num w:numId="16" w16cid:durableId="1786928313">
    <w:abstractNumId w:val="37"/>
  </w:num>
  <w:num w:numId="17" w16cid:durableId="971057894">
    <w:abstractNumId w:val="21"/>
  </w:num>
  <w:num w:numId="18" w16cid:durableId="1835761109">
    <w:abstractNumId w:val="42"/>
  </w:num>
  <w:num w:numId="19" w16cid:durableId="1853301419">
    <w:abstractNumId w:val="29"/>
  </w:num>
  <w:num w:numId="20" w16cid:durableId="1138961641">
    <w:abstractNumId w:val="9"/>
  </w:num>
  <w:num w:numId="21" w16cid:durableId="707533982">
    <w:abstractNumId w:val="7"/>
  </w:num>
  <w:num w:numId="22" w16cid:durableId="1596019432">
    <w:abstractNumId w:val="6"/>
  </w:num>
  <w:num w:numId="23" w16cid:durableId="1487360387">
    <w:abstractNumId w:val="5"/>
  </w:num>
  <w:num w:numId="24" w16cid:durableId="1982885876">
    <w:abstractNumId w:val="4"/>
  </w:num>
  <w:num w:numId="25" w16cid:durableId="1215389272">
    <w:abstractNumId w:val="8"/>
  </w:num>
  <w:num w:numId="26" w16cid:durableId="635644522">
    <w:abstractNumId w:val="3"/>
  </w:num>
  <w:num w:numId="27" w16cid:durableId="1303851769">
    <w:abstractNumId w:val="2"/>
  </w:num>
  <w:num w:numId="28" w16cid:durableId="1078092929">
    <w:abstractNumId w:val="1"/>
  </w:num>
  <w:num w:numId="29" w16cid:durableId="70276966">
    <w:abstractNumId w:val="0"/>
  </w:num>
  <w:num w:numId="30" w16cid:durableId="477575557">
    <w:abstractNumId w:val="39"/>
  </w:num>
  <w:num w:numId="31" w16cid:durableId="1811285061">
    <w:abstractNumId w:val="19"/>
  </w:num>
  <w:num w:numId="32" w16cid:durableId="2080250108">
    <w:abstractNumId w:val="40"/>
  </w:num>
  <w:num w:numId="33" w16cid:durableId="1817988948">
    <w:abstractNumId w:val="38"/>
  </w:num>
  <w:num w:numId="34" w16cid:durableId="688260969">
    <w:abstractNumId w:val="27"/>
  </w:num>
  <w:num w:numId="35" w16cid:durableId="199903104">
    <w:abstractNumId w:val="41"/>
  </w:num>
  <w:num w:numId="36" w16cid:durableId="128481416">
    <w:abstractNumId w:val="33"/>
  </w:num>
  <w:num w:numId="37" w16cid:durableId="1298487953">
    <w:abstractNumId w:val="43"/>
  </w:num>
  <w:num w:numId="38" w16cid:durableId="1107046621">
    <w:abstractNumId w:val="17"/>
  </w:num>
  <w:num w:numId="39" w16cid:durableId="1238706017">
    <w:abstractNumId w:val="25"/>
  </w:num>
  <w:num w:numId="40" w16cid:durableId="1764834388">
    <w:abstractNumId w:val="24"/>
  </w:num>
  <w:num w:numId="41" w16cid:durableId="294920373">
    <w:abstractNumId w:val="31"/>
  </w:num>
  <w:num w:numId="42" w16cid:durableId="2027557965">
    <w:abstractNumId w:val="12"/>
  </w:num>
  <w:num w:numId="43" w16cid:durableId="1861164410">
    <w:abstractNumId w:val="13"/>
  </w:num>
  <w:num w:numId="44" w16cid:durableId="868908296">
    <w:abstractNumId w:val="11"/>
  </w:num>
  <w:num w:numId="45" w16cid:durableId="20358845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84"/>
    <w:rsid w:val="000014D3"/>
    <w:rsid w:val="00010E3C"/>
    <w:rsid w:val="000114D8"/>
    <w:rsid w:val="00020F03"/>
    <w:rsid w:val="00033F7E"/>
    <w:rsid w:val="00066C0E"/>
    <w:rsid w:val="00085AA8"/>
    <w:rsid w:val="00093A08"/>
    <w:rsid w:val="00097B92"/>
    <w:rsid w:val="000A2138"/>
    <w:rsid w:val="000C7F30"/>
    <w:rsid w:val="000E0C00"/>
    <w:rsid w:val="00103F77"/>
    <w:rsid w:val="00104BDB"/>
    <w:rsid w:val="00120290"/>
    <w:rsid w:val="00120C1A"/>
    <w:rsid w:val="00165DE4"/>
    <w:rsid w:val="001815F5"/>
    <w:rsid w:val="00186CEF"/>
    <w:rsid w:val="0019499F"/>
    <w:rsid w:val="001C6E67"/>
    <w:rsid w:val="001E29F9"/>
    <w:rsid w:val="001F6B3A"/>
    <w:rsid w:val="00214967"/>
    <w:rsid w:val="00244196"/>
    <w:rsid w:val="0025608B"/>
    <w:rsid w:val="00257524"/>
    <w:rsid w:val="00282DFD"/>
    <w:rsid w:val="00287384"/>
    <w:rsid w:val="0029336B"/>
    <w:rsid w:val="002B411E"/>
    <w:rsid w:val="002B636F"/>
    <w:rsid w:val="002B6A25"/>
    <w:rsid w:val="002D5E6D"/>
    <w:rsid w:val="00303193"/>
    <w:rsid w:val="003038E9"/>
    <w:rsid w:val="003313A1"/>
    <w:rsid w:val="0033483D"/>
    <w:rsid w:val="003556A0"/>
    <w:rsid w:val="00372617"/>
    <w:rsid w:val="003B79EF"/>
    <w:rsid w:val="003C7E3A"/>
    <w:rsid w:val="003D06CE"/>
    <w:rsid w:val="003E7D3C"/>
    <w:rsid w:val="00403117"/>
    <w:rsid w:val="00413A1B"/>
    <w:rsid w:val="004209D3"/>
    <w:rsid w:val="00452348"/>
    <w:rsid w:val="004577B4"/>
    <w:rsid w:val="00463BBA"/>
    <w:rsid w:val="004653F1"/>
    <w:rsid w:val="004966B8"/>
    <w:rsid w:val="00496917"/>
    <w:rsid w:val="00497DA8"/>
    <w:rsid w:val="004B06F5"/>
    <w:rsid w:val="004C5EC2"/>
    <w:rsid w:val="004E182C"/>
    <w:rsid w:val="004E3127"/>
    <w:rsid w:val="004E3CC1"/>
    <w:rsid w:val="004F32EE"/>
    <w:rsid w:val="004F452A"/>
    <w:rsid w:val="00544F52"/>
    <w:rsid w:val="00571E0F"/>
    <w:rsid w:val="00571F39"/>
    <w:rsid w:val="00573513"/>
    <w:rsid w:val="00581CEF"/>
    <w:rsid w:val="005D29BE"/>
    <w:rsid w:val="005D352A"/>
    <w:rsid w:val="005F44E2"/>
    <w:rsid w:val="00627402"/>
    <w:rsid w:val="006314F8"/>
    <w:rsid w:val="00634935"/>
    <w:rsid w:val="00641D59"/>
    <w:rsid w:val="00642ACD"/>
    <w:rsid w:val="00652C2B"/>
    <w:rsid w:val="00656117"/>
    <w:rsid w:val="0068172F"/>
    <w:rsid w:val="006875CE"/>
    <w:rsid w:val="00690B3D"/>
    <w:rsid w:val="00692523"/>
    <w:rsid w:val="00697062"/>
    <w:rsid w:val="006A5886"/>
    <w:rsid w:val="006C1A30"/>
    <w:rsid w:val="006C5D43"/>
    <w:rsid w:val="006D5FB5"/>
    <w:rsid w:val="006E185D"/>
    <w:rsid w:val="006F1C6E"/>
    <w:rsid w:val="007005B5"/>
    <w:rsid w:val="00717BD5"/>
    <w:rsid w:val="007372E9"/>
    <w:rsid w:val="00740D48"/>
    <w:rsid w:val="00743F0F"/>
    <w:rsid w:val="00757373"/>
    <w:rsid w:val="007756FD"/>
    <w:rsid w:val="0077581A"/>
    <w:rsid w:val="0077754A"/>
    <w:rsid w:val="00777A64"/>
    <w:rsid w:val="00783C3A"/>
    <w:rsid w:val="0078790D"/>
    <w:rsid w:val="0079578A"/>
    <w:rsid w:val="007A3B99"/>
    <w:rsid w:val="007B7A59"/>
    <w:rsid w:val="007C311D"/>
    <w:rsid w:val="007C596D"/>
    <w:rsid w:val="007C7A49"/>
    <w:rsid w:val="007F1FD9"/>
    <w:rsid w:val="0080049A"/>
    <w:rsid w:val="00812CE7"/>
    <w:rsid w:val="008136E5"/>
    <w:rsid w:val="008246A8"/>
    <w:rsid w:val="00864F17"/>
    <w:rsid w:val="00866F87"/>
    <w:rsid w:val="008750CF"/>
    <w:rsid w:val="0089013A"/>
    <w:rsid w:val="008B61D1"/>
    <w:rsid w:val="008C114D"/>
    <w:rsid w:val="008E6270"/>
    <w:rsid w:val="00903AF3"/>
    <w:rsid w:val="009259EF"/>
    <w:rsid w:val="00926ABC"/>
    <w:rsid w:val="009309C7"/>
    <w:rsid w:val="00952EDD"/>
    <w:rsid w:val="00965D84"/>
    <w:rsid w:val="0098645C"/>
    <w:rsid w:val="00987E6F"/>
    <w:rsid w:val="00996252"/>
    <w:rsid w:val="009E4B41"/>
    <w:rsid w:val="009E61E1"/>
    <w:rsid w:val="00A06369"/>
    <w:rsid w:val="00A24E11"/>
    <w:rsid w:val="00A278D0"/>
    <w:rsid w:val="00A30216"/>
    <w:rsid w:val="00A33C42"/>
    <w:rsid w:val="00A5136E"/>
    <w:rsid w:val="00A67A68"/>
    <w:rsid w:val="00AB6CC4"/>
    <w:rsid w:val="00AD74E2"/>
    <w:rsid w:val="00AF16A0"/>
    <w:rsid w:val="00AF3917"/>
    <w:rsid w:val="00B066DC"/>
    <w:rsid w:val="00B20353"/>
    <w:rsid w:val="00B26906"/>
    <w:rsid w:val="00B3616C"/>
    <w:rsid w:val="00B50EB3"/>
    <w:rsid w:val="00B64BC2"/>
    <w:rsid w:val="00BA624B"/>
    <w:rsid w:val="00BB1058"/>
    <w:rsid w:val="00BB2135"/>
    <w:rsid w:val="00BC2E36"/>
    <w:rsid w:val="00BE1214"/>
    <w:rsid w:val="00BE7643"/>
    <w:rsid w:val="00BF1CC4"/>
    <w:rsid w:val="00C22159"/>
    <w:rsid w:val="00C30F46"/>
    <w:rsid w:val="00C4213B"/>
    <w:rsid w:val="00C55398"/>
    <w:rsid w:val="00C7012B"/>
    <w:rsid w:val="00C74DB9"/>
    <w:rsid w:val="00C82C28"/>
    <w:rsid w:val="00C87930"/>
    <w:rsid w:val="00CA57CF"/>
    <w:rsid w:val="00CB0B30"/>
    <w:rsid w:val="00CC5EE1"/>
    <w:rsid w:val="00CF1329"/>
    <w:rsid w:val="00D009A8"/>
    <w:rsid w:val="00D013D0"/>
    <w:rsid w:val="00D13F3C"/>
    <w:rsid w:val="00D3259B"/>
    <w:rsid w:val="00D32DAF"/>
    <w:rsid w:val="00D51B1A"/>
    <w:rsid w:val="00D6103C"/>
    <w:rsid w:val="00D8040B"/>
    <w:rsid w:val="00DA3500"/>
    <w:rsid w:val="00DA7379"/>
    <w:rsid w:val="00DB1C95"/>
    <w:rsid w:val="00DB5B9D"/>
    <w:rsid w:val="00DC1587"/>
    <w:rsid w:val="00DE53C5"/>
    <w:rsid w:val="00DF02CE"/>
    <w:rsid w:val="00E03156"/>
    <w:rsid w:val="00E04576"/>
    <w:rsid w:val="00E0471A"/>
    <w:rsid w:val="00E04A2C"/>
    <w:rsid w:val="00E12197"/>
    <w:rsid w:val="00E1554D"/>
    <w:rsid w:val="00E17735"/>
    <w:rsid w:val="00E23309"/>
    <w:rsid w:val="00E24503"/>
    <w:rsid w:val="00E34DA3"/>
    <w:rsid w:val="00E4551B"/>
    <w:rsid w:val="00E76BB4"/>
    <w:rsid w:val="00E97589"/>
    <w:rsid w:val="00EA5E67"/>
    <w:rsid w:val="00EA6BC1"/>
    <w:rsid w:val="00ED0B86"/>
    <w:rsid w:val="00EE06CF"/>
    <w:rsid w:val="00EE5D7C"/>
    <w:rsid w:val="00EF65E6"/>
    <w:rsid w:val="00F03D67"/>
    <w:rsid w:val="00F10193"/>
    <w:rsid w:val="00F129EB"/>
    <w:rsid w:val="00F33234"/>
    <w:rsid w:val="00F46A8E"/>
    <w:rsid w:val="00F47A30"/>
    <w:rsid w:val="00F86807"/>
    <w:rsid w:val="00F87C82"/>
    <w:rsid w:val="00FE3CCF"/>
    <w:rsid w:val="00FF2FD2"/>
    <w:rsid w:val="147054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FEA8A9"/>
  <w15:docId w15:val="{97BFF6CA-A010-4D0F-93BB-52CBE092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02"/>
  </w:style>
  <w:style w:type="paragraph" w:styleId="Heading1">
    <w:name w:val="heading 1"/>
    <w:basedOn w:val="Normal"/>
    <w:next w:val="Normal"/>
    <w:link w:val="Heading1Char"/>
    <w:uiPriority w:val="9"/>
    <w:qFormat/>
    <w:rsid w:val="00CB0B3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6E18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E18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E185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E185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E185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E185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18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E18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7384"/>
    <w:pPr>
      <w:widowControl w:val="0"/>
      <w:autoSpaceDE w:val="0"/>
      <w:autoSpaceDN w:val="0"/>
      <w:adjustRightInd w:val="0"/>
    </w:pPr>
    <w:rPr>
      <w:rFonts w:ascii="Arial" w:hAnsi="Arial" w:cs="Arial"/>
      <w:color w:val="000000"/>
      <w:lang w:val="en-US"/>
    </w:rPr>
  </w:style>
  <w:style w:type="paragraph" w:styleId="Header">
    <w:name w:val="header"/>
    <w:basedOn w:val="Normal"/>
    <w:link w:val="HeaderChar"/>
    <w:uiPriority w:val="99"/>
    <w:unhideWhenUsed/>
    <w:rsid w:val="00BA624B"/>
    <w:pPr>
      <w:tabs>
        <w:tab w:val="center" w:pos="4320"/>
        <w:tab w:val="right" w:pos="8640"/>
      </w:tabs>
    </w:pPr>
  </w:style>
  <w:style w:type="character" w:customStyle="1" w:styleId="HeaderChar">
    <w:name w:val="Header Char"/>
    <w:basedOn w:val="DefaultParagraphFont"/>
    <w:link w:val="Header"/>
    <w:uiPriority w:val="99"/>
    <w:rsid w:val="00BA624B"/>
  </w:style>
  <w:style w:type="paragraph" w:styleId="Footer">
    <w:name w:val="footer"/>
    <w:basedOn w:val="Normal"/>
    <w:link w:val="FooterChar"/>
    <w:uiPriority w:val="99"/>
    <w:unhideWhenUsed/>
    <w:rsid w:val="00BA624B"/>
    <w:pPr>
      <w:tabs>
        <w:tab w:val="center" w:pos="4320"/>
        <w:tab w:val="right" w:pos="8640"/>
      </w:tabs>
    </w:pPr>
  </w:style>
  <w:style w:type="character" w:customStyle="1" w:styleId="FooterChar">
    <w:name w:val="Footer Char"/>
    <w:basedOn w:val="DefaultParagraphFont"/>
    <w:link w:val="Footer"/>
    <w:uiPriority w:val="99"/>
    <w:rsid w:val="00BA624B"/>
  </w:style>
  <w:style w:type="paragraph" w:styleId="BalloonText">
    <w:name w:val="Balloon Text"/>
    <w:basedOn w:val="Normal"/>
    <w:link w:val="BalloonTextChar"/>
    <w:uiPriority w:val="99"/>
    <w:semiHidden/>
    <w:unhideWhenUsed/>
    <w:rsid w:val="00EE06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06CF"/>
    <w:rPr>
      <w:rFonts w:ascii="Lucida Grande" w:hAnsi="Lucida Grande" w:cs="Lucida Grande"/>
      <w:sz w:val="18"/>
      <w:szCs w:val="18"/>
    </w:rPr>
  </w:style>
  <w:style w:type="character" w:customStyle="1" w:styleId="Heading1Char">
    <w:name w:val="Heading 1 Char"/>
    <w:basedOn w:val="DefaultParagraphFont"/>
    <w:link w:val="Heading1"/>
    <w:uiPriority w:val="9"/>
    <w:rsid w:val="00CB0B30"/>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B0B30"/>
    <w:pPr>
      <w:spacing w:line="276" w:lineRule="auto"/>
      <w:outlineLvl w:val="9"/>
    </w:pPr>
    <w:rPr>
      <w:color w:val="365F91" w:themeColor="accent1" w:themeShade="BF"/>
      <w:sz w:val="28"/>
      <w:szCs w:val="28"/>
      <w:lang w:val="en-US"/>
    </w:rPr>
  </w:style>
  <w:style w:type="paragraph" w:styleId="TOC2">
    <w:name w:val="toc 2"/>
    <w:basedOn w:val="Normal"/>
    <w:next w:val="Normal"/>
    <w:autoRedefine/>
    <w:uiPriority w:val="39"/>
    <w:unhideWhenUsed/>
    <w:rsid w:val="00CB0B30"/>
    <w:pPr>
      <w:ind w:left="240"/>
    </w:pPr>
    <w:rPr>
      <w:b/>
      <w:sz w:val="22"/>
      <w:szCs w:val="22"/>
    </w:rPr>
  </w:style>
  <w:style w:type="paragraph" w:styleId="TOC1">
    <w:name w:val="toc 1"/>
    <w:basedOn w:val="Normal"/>
    <w:next w:val="Normal"/>
    <w:autoRedefine/>
    <w:uiPriority w:val="39"/>
    <w:unhideWhenUsed/>
    <w:rsid w:val="00CB0B30"/>
    <w:pPr>
      <w:spacing w:before="120"/>
    </w:pPr>
    <w:rPr>
      <w:b/>
    </w:rPr>
  </w:style>
  <w:style w:type="paragraph" w:styleId="TOC3">
    <w:name w:val="toc 3"/>
    <w:basedOn w:val="Normal"/>
    <w:next w:val="Normal"/>
    <w:autoRedefine/>
    <w:uiPriority w:val="39"/>
    <w:unhideWhenUsed/>
    <w:rsid w:val="00CB0B30"/>
    <w:pPr>
      <w:ind w:left="480"/>
    </w:pPr>
    <w:rPr>
      <w:sz w:val="22"/>
      <w:szCs w:val="22"/>
    </w:rPr>
  </w:style>
  <w:style w:type="paragraph" w:styleId="TOC4">
    <w:name w:val="toc 4"/>
    <w:basedOn w:val="Normal"/>
    <w:next w:val="Normal"/>
    <w:autoRedefine/>
    <w:uiPriority w:val="39"/>
    <w:semiHidden/>
    <w:unhideWhenUsed/>
    <w:rsid w:val="00CB0B30"/>
    <w:pPr>
      <w:ind w:left="720"/>
    </w:pPr>
    <w:rPr>
      <w:sz w:val="20"/>
      <w:szCs w:val="20"/>
    </w:rPr>
  </w:style>
  <w:style w:type="paragraph" w:styleId="TOC5">
    <w:name w:val="toc 5"/>
    <w:basedOn w:val="Normal"/>
    <w:next w:val="Normal"/>
    <w:autoRedefine/>
    <w:uiPriority w:val="39"/>
    <w:semiHidden/>
    <w:unhideWhenUsed/>
    <w:rsid w:val="00CB0B30"/>
    <w:pPr>
      <w:ind w:left="960"/>
    </w:pPr>
    <w:rPr>
      <w:sz w:val="20"/>
      <w:szCs w:val="20"/>
    </w:rPr>
  </w:style>
  <w:style w:type="paragraph" w:styleId="TOC6">
    <w:name w:val="toc 6"/>
    <w:basedOn w:val="Normal"/>
    <w:next w:val="Normal"/>
    <w:autoRedefine/>
    <w:uiPriority w:val="39"/>
    <w:semiHidden/>
    <w:unhideWhenUsed/>
    <w:rsid w:val="00CB0B30"/>
    <w:pPr>
      <w:ind w:left="1200"/>
    </w:pPr>
    <w:rPr>
      <w:sz w:val="20"/>
      <w:szCs w:val="20"/>
    </w:rPr>
  </w:style>
  <w:style w:type="paragraph" w:styleId="TOC7">
    <w:name w:val="toc 7"/>
    <w:basedOn w:val="Normal"/>
    <w:next w:val="Normal"/>
    <w:autoRedefine/>
    <w:uiPriority w:val="39"/>
    <w:semiHidden/>
    <w:unhideWhenUsed/>
    <w:rsid w:val="00CB0B30"/>
    <w:pPr>
      <w:ind w:left="1440"/>
    </w:pPr>
    <w:rPr>
      <w:sz w:val="20"/>
      <w:szCs w:val="20"/>
    </w:rPr>
  </w:style>
  <w:style w:type="paragraph" w:styleId="TOC8">
    <w:name w:val="toc 8"/>
    <w:basedOn w:val="Normal"/>
    <w:next w:val="Normal"/>
    <w:autoRedefine/>
    <w:uiPriority w:val="39"/>
    <w:semiHidden/>
    <w:unhideWhenUsed/>
    <w:rsid w:val="00CB0B30"/>
    <w:pPr>
      <w:ind w:left="1680"/>
    </w:pPr>
    <w:rPr>
      <w:sz w:val="20"/>
      <w:szCs w:val="20"/>
    </w:rPr>
  </w:style>
  <w:style w:type="paragraph" w:styleId="TOC9">
    <w:name w:val="toc 9"/>
    <w:basedOn w:val="Normal"/>
    <w:next w:val="Normal"/>
    <w:autoRedefine/>
    <w:uiPriority w:val="39"/>
    <w:semiHidden/>
    <w:unhideWhenUsed/>
    <w:rsid w:val="00CB0B30"/>
    <w:pPr>
      <w:ind w:left="1920"/>
    </w:pPr>
    <w:rPr>
      <w:sz w:val="20"/>
      <w:szCs w:val="20"/>
    </w:rPr>
  </w:style>
  <w:style w:type="table" w:styleId="TableGrid">
    <w:name w:val="Table Grid"/>
    <w:basedOn w:val="TableNormal"/>
    <w:uiPriority w:val="59"/>
    <w:rsid w:val="00681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7C82"/>
    <w:pPr>
      <w:ind w:left="720"/>
      <w:contextualSpacing/>
    </w:pPr>
  </w:style>
  <w:style w:type="character" w:styleId="PageNumber">
    <w:name w:val="page number"/>
    <w:basedOn w:val="DefaultParagraphFont"/>
    <w:uiPriority w:val="99"/>
    <w:semiHidden/>
    <w:unhideWhenUsed/>
    <w:rsid w:val="00497DA8"/>
  </w:style>
  <w:style w:type="table" w:styleId="LightShading-Accent1">
    <w:name w:val="Light Shading Accent 1"/>
    <w:basedOn w:val="TableNormal"/>
    <w:uiPriority w:val="60"/>
    <w:rsid w:val="001C6E6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E34D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basedOn w:val="DefaultParagraphFont"/>
    <w:uiPriority w:val="99"/>
    <w:unhideWhenUsed/>
    <w:rsid w:val="00E97589"/>
    <w:rPr>
      <w:color w:val="0000FF" w:themeColor="hyperlink"/>
      <w:u w:val="single"/>
    </w:rPr>
  </w:style>
  <w:style w:type="paragraph" w:styleId="Bibliography">
    <w:name w:val="Bibliography"/>
    <w:basedOn w:val="Normal"/>
    <w:next w:val="Normal"/>
    <w:uiPriority w:val="37"/>
    <w:semiHidden/>
    <w:unhideWhenUsed/>
    <w:rsid w:val="006E185D"/>
  </w:style>
  <w:style w:type="paragraph" w:styleId="BlockText">
    <w:name w:val="Block Text"/>
    <w:basedOn w:val="Normal"/>
    <w:uiPriority w:val="99"/>
    <w:semiHidden/>
    <w:unhideWhenUsed/>
    <w:rsid w:val="006E185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
    <w:name w:val="Body Text"/>
    <w:basedOn w:val="Normal"/>
    <w:link w:val="BodyTextChar"/>
    <w:uiPriority w:val="99"/>
    <w:semiHidden/>
    <w:unhideWhenUsed/>
    <w:rsid w:val="006E185D"/>
    <w:pPr>
      <w:spacing w:after="120"/>
    </w:pPr>
  </w:style>
  <w:style w:type="character" w:customStyle="1" w:styleId="BodyTextChar">
    <w:name w:val="Body Text Char"/>
    <w:basedOn w:val="DefaultParagraphFont"/>
    <w:link w:val="BodyText"/>
    <w:uiPriority w:val="99"/>
    <w:semiHidden/>
    <w:rsid w:val="006E185D"/>
  </w:style>
  <w:style w:type="paragraph" w:styleId="BodyText2">
    <w:name w:val="Body Text 2"/>
    <w:basedOn w:val="Normal"/>
    <w:link w:val="BodyText2Char"/>
    <w:uiPriority w:val="99"/>
    <w:semiHidden/>
    <w:unhideWhenUsed/>
    <w:rsid w:val="006E185D"/>
    <w:pPr>
      <w:spacing w:after="120" w:line="480" w:lineRule="auto"/>
    </w:pPr>
  </w:style>
  <w:style w:type="character" w:customStyle="1" w:styleId="BodyText2Char">
    <w:name w:val="Body Text 2 Char"/>
    <w:basedOn w:val="DefaultParagraphFont"/>
    <w:link w:val="BodyText2"/>
    <w:uiPriority w:val="99"/>
    <w:semiHidden/>
    <w:rsid w:val="006E185D"/>
  </w:style>
  <w:style w:type="paragraph" w:styleId="BodyText3">
    <w:name w:val="Body Text 3"/>
    <w:basedOn w:val="Normal"/>
    <w:link w:val="BodyText3Char"/>
    <w:uiPriority w:val="99"/>
    <w:semiHidden/>
    <w:unhideWhenUsed/>
    <w:rsid w:val="006E185D"/>
    <w:pPr>
      <w:spacing w:after="120"/>
    </w:pPr>
    <w:rPr>
      <w:sz w:val="16"/>
      <w:szCs w:val="16"/>
    </w:rPr>
  </w:style>
  <w:style w:type="character" w:customStyle="1" w:styleId="BodyText3Char">
    <w:name w:val="Body Text 3 Char"/>
    <w:basedOn w:val="DefaultParagraphFont"/>
    <w:link w:val="BodyText3"/>
    <w:uiPriority w:val="99"/>
    <w:semiHidden/>
    <w:rsid w:val="006E185D"/>
    <w:rPr>
      <w:sz w:val="16"/>
      <w:szCs w:val="16"/>
    </w:rPr>
  </w:style>
  <w:style w:type="paragraph" w:styleId="BodyTextFirstIndent">
    <w:name w:val="Body Text First Indent"/>
    <w:basedOn w:val="BodyText"/>
    <w:link w:val="BodyTextFirstIndentChar"/>
    <w:uiPriority w:val="99"/>
    <w:semiHidden/>
    <w:unhideWhenUsed/>
    <w:rsid w:val="006E185D"/>
    <w:pPr>
      <w:spacing w:after="0"/>
      <w:ind w:firstLine="360"/>
    </w:pPr>
  </w:style>
  <w:style w:type="character" w:customStyle="1" w:styleId="BodyTextFirstIndentChar">
    <w:name w:val="Body Text First Indent Char"/>
    <w:basedOn w:val="BodyTextChar"/>
    <w:link w:val="BodyTextFirstIndent"/>
    <w:uiPriority w:val="99"/>
    <w:semiHidden/>
    <w:rsid w:val="006E185D"/>
  </w:style>
  <w:style w:type="paragraph" w:styleId="BodyTextIndent">
    <w:name w:val="Body Text Indent"/>
    <w:basedOn w:val="Normal"/>
    <w:link w:val="BodyTextIndentChar"/>
    <w:uiPriority w:val="99"/>
    <w:semiHidden/>
    <w:unhideWhenUsed/>
    <w:rsid w:val="006E185D"/>
    <w:pPr>
      <w:spacing w:after="120"/>
      <w:ind w:left="283"/>
    </w:pPr>
  </w:style>
  <w:style w:type="character" w:customStyle="1" w:styleId="BodyTextIndentChar">
    <w:name w:val="Body Text Indent Char"/>
    <w:basedOn w:val="DefaultParagraphFont"/>
    <w:link w:val="BodyTextIndent"/>
    <w:uiPriority w:val="99"/>
    <w:semiHidden/>
    <w:rsid w:val="006E185D"/>
  </w:style>
  <w:style w:type="paragraph" w:styleId="BodyTextFirstIndent2">
    <w:name w:val="Body Text First Indent 2"/>
    <w:basedOn w:val="BodyTextIndent"/>
    <w:link w:val="BodyTextFirstIndent2Char"/>
    <w:uiPriority w:val="99"/>
    <w:semiHidden/>
    <w:unhideWhenUsed/>
    <w:rsid w:val="006E185D"/>
    <w:pPr>
      <w:spacing w:after="0"/>
      <w:ind w:left="360" w:firstLine="360"/>
    </w:pPr>
  </w:style>
  <w:style w:type="character" w:customStyle="1" w:styleId="BodyTextFirstIndent2Char">
    <w:name w:val="Body Text First Indent 2 Char"/>
    <w:basedOn w:val="BodyTextIndentChar"/>
    <w:link w:val="BodyTextFirstIndent2"/>
    <w:uiPriority w:val="99"/>
    <w:semiHidden/>
    <w:rsid w:val="006E185D"/>
  </w:style>
  <w:style w:type="paragraph" w:styleId="BodyTextIndent2">
    <w:name w:val="Body Text Indent 2"/>
    <w:basedOn w:val="Normal"/>
    <w:link w:val="BodyTextIndent2Char"/>
    <w:uiPriority w:val="99"/>
    <w:semiHidden/>
    <w:unhideWhenUsed/>
    <w:rsid w:val="006E185D"/>
    <w:pPr>
      <w:spacing w:after="120" w:line="480" w:lineRule="auto"/>
      <w:ind w:left="283"/>
    </w:pPr>
  </w:style>
  <w:style w:type="character" w:customStyle="1" w:styleId="BodyTextIndent2Char">
    <w:name w:val="Body Text Indent 2 Char"/>
    <w:basedOn w:val="DefaultParagraphFont"/>
    <w:link w:val="BodyTextIndent2"/>
    <w:uiPriority w:val="99"/>
    <w:semiHidden/>
    <w:rsid w:val="006E185D"/>
  </w:style>
  <w:style w:type="paragraph" w:styleId="BodyTextIndent3">
    <w:name w:val="Body Text Indent 3"/>
    <w:basedOn w:val="Normal"/>
    <w:link w:val="BodyTextIndent3Char"/>
    <w:uiPriority w:val="99"/>
    <w:semiHidden/>
    <w:unhideWhenUsed/>
    <w:rsid w:val="006E185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185D"/>
    <w:rPr>
      <w:sz w:val="16"/>
      <w:szCs w:val="16"/>
    </w:rPr>
  </w:style>
  <w:style w:type="paragraph" w:styleId="Caption">
    <w:name w:val="caption"/>
    <w:basedOn w:val="Normal"/>
    <w:next w:val="Normal"/>
    <w:uiPriority w:val="35"/>
    <w:semiHidden/>
    <w:unhideWhenUsed/>
    <w:qFormat/>
    <w:rsid w:val="006E185D"/>
    <w:pPr>
      <w:spacing w:after="200"/>
    </w:pPr>
    <w:rPr>
      <w:b/>
      <w:bCs/>
      <w:color w:val="4F81BD" w:themeColor="accent1"/>
      <w:sz w:val="18"/>
      <w:szCs w:val="18"/>
    </w:rPr>
  </w:style>
  <w:style w:type="paragraph" w:styleId="Closing">
    <w:name w:val="Closing"/>
    <w:basedOn w:val="Normal"/>
    <w:link w:val="ClosingChar"/>
    <w:uiPriority w:val="99"/>
    <w:semiHidden/>
    <w:unhideWhenUsed/>
    <w:rsid w:val="006E185D"/>
    <w:pPr>
      <w:ind w:left="4252"/>
    </w:pPr>
  </w:style>
  <w:style w:type="character" w:customStyle="1" w:styleId="ClosingChar">
    <w:name w:val="Closing Char"/>
    <w:basedOn w:val="DefaultParagraphFont"/>
    <w:link w:val="Closing"/>
    <w:uiPriority w:val="99"/>
    <w:semiHidden/>
    <w:rsid w:val="006E185D"/>
  </w:style>
  <w:style w:type="paragraph" w:styleId="CommentText">
    <w:name w:val="annotation text"/>
    <w:basedOn w:val="Normal"/>
    <w:link w:val="CommentTextChar"/>
    <w:uiPriority w:val="99"/>
    <w:semiHidden/>
    <w:unhideWhenUsed/>
    <w:rsid w:val="006E185D"/>
    <w:rPr>
      <w:sz w:val="20"/>
      <w:szCs w:val="20"/>
    </w:rPr>
  </w:style>
  <w:style w:type="character" w:customStyle="1" w:styleId="CommentTextChar">
    <w:name w:val="Comment Text Char"/>
    <w:basedOn w:val="DefaultParagraphFont"/>
    <w:link w:val="CommentText"/>
    <w:uiPriority w:val="99"/>
    <w:semiHidden/>
    <w:rsid w:val="006E185D"/>
    <w:rPr>
      <w:sz w:val="20"/>
      <w:szCs w:val="20"/>
    </w:rPr>
  </w:style>
  <w:style w:type="paragraph" w:styleId="CommentSubject">
    <w:name w:val="annotation subject"/>
    <w:basedOn w:val="CommentText"/>
    <w:next w:val="CommentText"/>
    <w:link w:val="CommentSubjectChar"/>
    <w:uiPriority w:val="99"/>
    <w:semiHidden/>
    <w:unhideWhenUsed/>
    <w:rsid w:val="006E185D"/>
    <w:rPr>
      <w:b/>
      <w:bCs/>
    </w:rPr>
  </w:style>
  <w:style w:type="character" w:customStyle="1" w:styleId="CommentSubjectChar">
    <w:name w:val="Comment Subject Char"/>
    <w:basedOn w:val="CommentTextChar"/>
    <w:link w:val="CommentSubject"/>
    <w:uiPriority w:val="99"/>
    <w:semiHidden/>
    <w:rsid w:val="006E185D"/>
    <w:rPr>
      <w:b/>
      <w:bCs/>
      <w:sz w:val="20"/>
      <w:szCs w:val="20"/>
    </w:rPr>
  </w:style>
  <w:style w:type="paragraph" w:styleId="Date">
    <w:name w:val="Date"/>
    <w:basedOn w:val="Normal"/>
    <w:next w:val="Normal"/>
    <w:link w:val="DateChar"/>
    <w:uiPriority w:val="99"/>
    <w:semiHidden/>
    <w:unhideWhenUsed/>
    <w:rsid w:val="006E185D"/>
  </w:style>
  <w:style w:type="character" w:customStyle="1" w:styleId="DateChar">
    <w:name w:val="Date Char"/>
    <w:basedOn w:val="DefaultParagraphFont"/>
    <w:link w:val="Date"/>
    <w:uiPriority w:val="99"/>
    <w:semiHidden/>
    <w:rsid w:val="006E185D"/>
  </w:style>
  <w:style w:type="paragraph" w:styleId="DocumentMap">
    <w:name w:val="Document Map"/>
    <w:basedOn w:val="Normal"/>
    <w:link w:val="DocumentMapChar"/>
    <w:uiPriority w:val="99"/>
    <w:semiHidden/>
    <w:unhideWhenUsed/>
    <w:rsid w:val="006E185D"/>
    <w:rPr>
      <w:rFonts w:ascii="Tahoma" w:hAnsi="Tahoma" w:cs="Tahoma"/>
      <w:sz w:val="16"/>
      <w:szCs w:val="16"/>
    </w:rPr>
  </w:style>
  <w:style w:type="character" w:customStyle="1" w:styleId="DocumentMapChar">
    <w:name w:val="Document Map Char"/>
    <w:basedOn w:val="DefaultParagraphFont"/>
    <w:link w:val="DocumentMap"/>
    <w:uiPriority w:val="99"/>
    <w:semiHidden/>
    <w:rsid w:val="006E185D"/>
    <w:rPr>
      <w:rFonts w:ascii="Tahoma" w:hAnsi="Tahoma" w:cs="Tahoma"/>
      <w:sz w:val="16"/>
      <w:szCs w:val="16"/>
    </w:rPr>
  </w:style>
  <w:style w:type="paragraph" w:styleId="E-mailSignature">
    <w:name w:val="E-mail Signature"/>
    <w:basedOn w:val="Normal"/>
    <w:link w:val="E-mailSignatureChar"/>
    <w:uiPriority w:val="99"/>
    <w:semiHidden/>
    <w:unhideWhenUsed/>
    <w:rsid w:val="006E185D"/>
  </w:style>
  <w:style w:type="character" w:customStyle="1" w:styleId="E-mailSignatureChar">
    <w:name w:val="E-mail Signature Char"/>
    <w:basedOn w:val="DefaultParagraphFont"/>
    <w:link w:val="E-mailSignature"/>
    <w:uiPriority w:val="99"/>
    <w:semiHidden/>
    <w:rsid w:val="006E185D"/>
  </w:style>
  <w:style w:type="paragraph" w:styleId="EndnoteText">
    <w:name w:val="endnote text"/>
    <w:basedOn w:val="Normal"/>
    <w:link w:val="EndnoteTextChar"/>
    <w:uiPriority w:val="99"/>
    <w:semiHidden/>
    <w:unhideWhenUsed/>
    <w:rsid w:val="006E185D"/>
    <w:rPr>
      <w:sz w:val="20"/>
      <w:szCs w:val="20"/>
    </w:rPr>
  </w:style>
  <w:style w:type="character" w:customStyle="1" w:styleId="EndnoteTextChar">
    <w:name w:val="Endnote Text Char"/>
    <w:basedOn w:val="DefaultParagraphFont"/>
    <w:link w:val="EndnoteText"/>
    <w:uiPriority w:val="99"/>
    <w:semiHidden/>
    <w:rsid w:val="006E185D"/>
    <w:rPr>
      <w:sz w:val="20"/>
      <w:szCs w:val="20"/>
    </w:rPr>
  </w:style>
  <w:style w:type="paragraph" w:styleId="EnvelopeAddress">
    <w:name w:val="envelope address"/>
    <w:basedOn w:val="Normal"/>
    <w:uiPriority w:val="99"/>
    <w:semiHidden/>
    <w:unhideWhenUsed/>
    <w:rsid w:val="006E185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185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E185D"/>
    <w:rPr>
      <w:sz w:val="20"/>
      <w:szCs w:val="20"/>
    </w:rPr>
  </w:style>
  <w:style w:type="character" w:customStyle="1" w:styleId="FootnoteTextChar">
    <w:name w:val="Footnote Text Char"/>
    <w:basedOn w:val="DefaultParagraphFont"/>
    <w:link w:val="FootnoteText"/>
    <w:uiPriority w:val="99"/>
    <w:semiHidden/>
    <w:rsid w:val="006E185D"/>
    <w:rPr>
      <w:sz w:val="20"/>
      <w:szCs w:val="20"/>
    </w:rPr>
  </w:style>
  <w:style w:type="character" w:customStyle="1" w:styleId="Heading2Char">
    <w:name w:val="Heading 2 Char"/>
    <w:basedOn w:val="DefaultParagraphFont"/>
    <w:link w:val="Heading2"/>
    <w:uiPriority w:val="9"/>
    <w:semiHidden/>
    <w:rsid w:val="006E185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E185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E185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E185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E185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E185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E185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E185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6E185D"/>
    <w:rPr>
      <w:i/>
      <w:iCs/>
    </w:rPr>
  </w:style>
  <w:style w:type="character" w:customStyle="1" w:styleId="HTMLAddressChar">
    <w:name w:val="HTML Address Char"/>
    <w:basedOn w:val="DefaultParagraphFont"/>
    <w:link w:val="HTMLAddress"/>
    <w:uiPriority w:val="99"/>
    <w:semiHidden/>
    <w:rsid w:val="006E185D"/>
    <w:rPr>
      <w:i/>
      <w:iCs/>
    </w:rPr>
  </w:style>
  <w:style w:type="paragraph" w:styleId="HTMLPreformatted">
    <w:name w:val="HTML Preformatted"/>
    <w:basedOn w:val="Normal"/>
    <w:link w:val="HTMLPreformattedChar"/>
    <w:uiPriority w:val="99"/>
    <w:semiHidden/>
    <w:unhideWhenUsed/>
    <w:rsid w:val="006E185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185D"/>
    <w:rPr>
      <w:rFonts w:ascii="Consolas" w:hAnsi="Consolas"/>
      <w:sz w:val="20"/>
      <w:szCs w:val="20"/>
    </w:rPr>
  </w:style>
  <w:style w:type="paragraph" w:styleId="Index1">
    <w:name w:val="index 1"/>
    <w:basedOn w:val="Normal"/>
    <w:next w:val="Normal"/>
    <w:autoRedefine/>
    <w:uiPriority w:val="99"/>
    <w:semiHidden/>
    <w:unhideWhenUsed/>
    <w:rsid w:val="006E185D"/>
    <w:pPr>
      <w:ind w:left="240" w:hanging="240"/>
    </w:pPr>
  </w:style>
  <w:style w:type="paragraph" w:styleId="Index2">
    <w:name w:val="index 2"/>
    <w:basedOn w:val="Normal"/>
    <w:next w:val="Normal"/>
    <w:autoRedefine/>
    <w:uiPriority w:val="99"/>
    <w:semiHidden/>
    <w:unhideWhenUsed/>
    <w:rsid w:val="006E185D"/>
    <w:pPr>
      <w:ind w:left="480" w:hanging="240"/>
    </w:pPr>
  </w:style>
  <w:style w:type="paragraph" w:styleId="Index3">
    <w:name w:val="index 3"/>
    <w:basedOn w:val="Normal"/>
    <w:next w:val="Normal"/>
    <w:autoRedefine/>
    <w:uiPriority w:val="99"/>
    <w:semiHidden/>
    <w:unhideWhenUsed/>
    <w:rsid w:val="006E185D"/>
    <w:pPr>
      <w:ind w:left="720" w:hanging="240"/>
    </w:pPr>
  </w:style>
  <w:style w:type="paragraph" w:styleId="Index4">
    <w:name w:val="index 4"/>
    <w:basedOn w:val="Normal"/>
    <w:next w:val="Normal"/>
    <w:autoRedefine/>
    <w:uiPriority w:val="99"/>
    <w:semiHidden/>
    <w:unhideWhenUsed/>
    <w:rsid w:val="006E185D"/>
    <w:pPr>
      <w:ind w:left="960" w:hanging="240"/>
    </w:pPr>
  </w:style>
  <w:style w:type="paragraph" w:styleId="Index5">
    <w:name w:val="index 5"/>
    <w:basedOn w:val="Normal"/>
    <w:next w:val="Normal"/>
    <w:autoRedefine/>
    <w:uiPriority w:val="99"/>
    <w:semiHidden/>
    <w:unhideWhenUsed/>
    <w:rsid w:val="006E185D"/>
    <w:pPr>
      <w:ind w:left="1200" w:hanging="240"/>
    </w:pPr>
  </w:style>
  <w:style w:type="paragraph" w:styleId="Index6">
    <w:name w:val="index 6"/>
    <w:basedOn w:val="Normal"/>
    <w:next w:val="Normal"/>
    <w:autoRedefine/>
    <w:uiPriority w:val="99"/>
    <w:semiHidden/>
    <w:unhideWhenUsed/>
    <w:rsid w:val="006E185D"/>
    <w:pPr>
      <w:ind w:left="1440" w:hanging="240"/>
    </w:pPr>
  </w:style>
  <w:style w:type="paragraph" w:styleId="Index7">
    <w:name w:val="index 7"/>
    <w:basedOn w:val="Normal"/>
    <w:next w:val="Normal"/>
    <w:autoRedefine/>
    <w:uiPriority w:val="99"/>
    <w:semiHidden/>
    <w:unhideWhenUsed/>
    <w:rsid w:val="006E185D"/>
    <w:pPr>
      <w:ind w:left="1680" w:hanging="240"/>
    </w:pPr>
  </w:style>
  <w:style w:type="paragraph" w:styleId="Index8">
    <w:name w:val="index 8"/>
    <w:basedOn w:val="Normal"/>
    <w:next w:val="Normal"/>
    <w:autoRedefine/>
    <w:uiPriority w:val="99"/>
    <w:semiHidden/>
    <w:unhideWhenUsed/>
    <w:rsid w:val="006E185D"/>
    <w:pPr>
      <w:ind w:left="1920" w:hanging="240"/>
    </w:pPr>
  </w:style>
  <w:style w:type="paragraph" w:styleId="Index9">
    <w:name w:val="index 9"/>
    <w:basedOn w:val="Normal"/>
    <w:next w:val="Normal"/>
    <w:autoRedefine/>
    <w:uiPriority w:val="99"/>
    <w:semiHidden/>
    <w:unhideWhenUsed/>
    <w:rsid w:val="006E185D"/>
    <w:pPr>
      <w:ind w:left="2160" w:hanging="240"/>
    </w:pPr>
  </w:style>
  <w:style w:type="paragraph" w:styleId="IndexHeading">
    <w:name w:val="index heading"/>
    <w:basedOn w:val="Normal"/>
    <w:next w:val="Index1"/>
    <w:uiPriority w:val="99"/>
    <w:semiHidden/>
    <w:unhideWhenUsed/>
    <w:rsid w:val="006E18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18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E185D"/>
    <w:rPr>
      <w:b/>
      <w:bCs/>
      <w:i/>
      <w:iCs/>
      <w:color w:val="4F81BD" w:themeColor="accent1"/>
    </w:rPr>
  </w:style>
  <w:style w:type="paragraph" w:styleId="List">
    <w:name w:val="List"/>
    <w:basedOn w:val="Normal"/>
    <w:uiPriority w:val="99"/>
    <w:semiHidden/>
    <w:unhideWhenUsed/>
    <w:rsid w:val="006E185D"/>
    <w:pPr>
      <w:ind w:left="283" w:hanging="283"/>
      <w:contextualSpacing/>
    </w:pPr>
  </w:style>
  <w:style w:type="paragraph" w:styleId="List2">
    <w:name w:val="List 2"/>
    <w:basedOn w:val="Normal"/>
    <w:uiPriority w:val="99"/>
    <w:semiHidden/>
    <w:unhideWhenUsed/>
    <w:rsid w:val="006E185D"/>
    <w:pPr>
      <w:ind w:left="566" w:hanging="283"/>
      <w:contextualSpacing/>
    </w:pPr>
  </w:style>
  <w:style w:type="paragraph" w:styleId="List3">
    <w:name w:val="List 3"/>
    <w:basedOn w:val="Normal"/>
    <w:uiPriority w:val="99"/>
    <w:semiHidden/>
    <w:unhideWhenUsed/>
    <w:rsid w:val="006E185D"/>
    <w:pPr>
      <w:ind w:left="849" w:hanging="283"/>
      <w:contextualSpacing/>
    </w:pPr>
  </w:style>
  <w:style w:type="paragraph" w:styleId="List4">
    <w:name w:val="List 4"/>
    <w:basedOn w:val="Normal"/>
    <w:uiPriority w:val="99"/>
    <w:semiHidden/>
    <w:unhideWhenUsed/>
    <w:rsid w:val="006E185D"/>
    <w:pPr>
      <w:ind w:left="1132" w:hanging="283"/>
      <w:contextualSpacing/>
    </w:pPr>
  </w:style>
  <w:style w:type="paragraph" w:styleId="List5">
    <w:name w:val="List 5"/>
    <w:basedOn w:val="Normal"/>
    <w:uiPriority w:val="99"/>
    <w:semiHidden/>
    <w:unhideWhenUsed/>
    <w:rsid w:val="006E185D"/>
    <w:pPr>
      <w:ind w:left="1415" w:hanging="283"/>
      <w:contextualSpacing/>
    </w:pPr>
  </w:style>
  <w:style w:type="paragraph" w:styleId="ListBullet">
    <w:name w:val="List Bullet"/>
    <w:basedOn w:val="Normal"/>
    <w:uiPriority w:val="99"/>
    <w:semiHidden/>
    <w:unhideWhenUsed/>
    <w:rsid w:val="006E185D"/>
    <w:pPr>
      <w:numPr>
        <w:numId w:val="20"/>
      </w:numPr>
      <w:contextualSpacing/>
    </w:pPr>
  </w:style>
  <w:style w:type="paragraph" w:styleId="ListBullet2">
    <w:name w:val="List Bullet 2"/>
    <w:basedOn w:val="Normal"/>
    <w:uiPriority w:val="99"/>
    <w:semiHidden/>
    <w:unhideWhenUsed/>
    <w:rsid w:val="006E185D"/>
    <w:pPr>
      <w:numPr>
        <w:numId w:val="21"/>
      </w:numPr>
      <w:contextualSpacing/>
    </w:pPr>
  </w:style>
  <w:style w:type="paragraph" w:styleId="ListBullet3">
    <w:name w:val="List Bullet 3"/>
    <w:basedOn w:val="Normal"/>
    <w:uiPriority w:val="99"/>
    <w:semiHidden/>
    <w:unhideWhenUsed/>
    <w:rsid w:val="006E185D"/>
    <w:pPr>
      <w:numPr>
        <w:numId w:val="22"/>
      </w:numPr>
      <w:contextualSpacing/>
    </w:pPr>
  </w:style>
  <w:style w:type="paragraph" w:styleId="ListBullet4">
    <w:name w:val="List Bullet 4"/>
    <w:basedOn w:val="Normal"/>
    <w:uiPriority w:val="99"/>
    <w:semiHidden/>
    <w:unhideWhenUsed/>
    <w:rsid w:val="006E185D"/>
    <w:pPr>
      <w:numPr>
        <w:numId w:val="23"/>
      </w:numPr>
      <w:contextualSpacing/>
    </w:pPr>
  </w:style>
  <w:style w:type="paragraph" w:styleId="ListBullet5">
    <w:name w:val="List Bullet 5"/>
    <w:basedOn w:val="Normal"/>
    <w:uiPriority w:val="99"/>
    <w:semiHidden/>
    <w:unhideWhenUsed/>
    <w:rsid w:val="006E185D"/>
    <w:pPr>
      <w:numPr>
        <w:numId w:val="24"/>
      </w:numPr>
      <w:contextualSpacing/>
    </w:pPr>
  </w:style>
  <w:style w:type="paragraph" w:styleId="ListContinue">
    <w:name w:val="List Continue"/>
    <w:basedOn w:val="Normal"/>
    <w:uiPriority w:val="99"/>
    <w:semiHidden/>
    <w:unhideWhenUsed/>
    <w:rsid w:val="006E185D"/>
    <w:pPr>
      <w:spacing w:after="120"/>
      <w:ind w:left="283"/>
      <w:contextualSpacing/>
    </w:pPr>
  </w:style>
  <w:style w:type="paragraph" w:styleId="ListContinue2">
    <w:name w:val="List Continue 2"/>
    <w:basedOn w:val="Normal"/>
    <w:uiPriority w:val="99"/>
    <w:semiHidden/>
    <w:unhideWhenUsed/>
    <w:rsid w:val="006E185D"/>
    <w:pPr>
      <w:spacing w:after="120"/>
      <w:ind w:left="566"/>
      <w:contextualSpacing/>
    </w:pPr>
  </w:style>
  <w:style w:type="paragraph" w:styleId="ListContinue3">
    <w:name w:val="List Continue 3"/>
    <w:basedOn w:val="Normal"/>
    <w:uiPriority w:val="99"/>
    <w:semiHidden/>
    <w:unhideWhenUsed/>
    <w:rsid w:val="006E185D"/>
    <w:pPr>
      <w:spacing w:after="120"/>
      <w:ind w:left="849"/>
      <w:contextualSpacing/>
    </w:pPr>
  </w:style>
  <w:style w:type="paragraph" w:styleId="ListContinue4">
    <w:name w:val="List Continue 4"/>
    <w:basedOn w:val="Normal"/>
    <w:uiPriority w:val="99"/>
    <w:semiHidden/>
    <w:unhideWhenUsed/>
    <w:rsid w:val="006E185D"/>
    <w:pPr>
      <w:spacing w:after="120"/>
      <w:ind w:left="1132"/>
      <w:contextualSpacing/>
    </w:pPr>
  </w:style>
  <w:style w:type="paragraph" w:styleId="ListContinue5">
    <w:name w:val="List Continue 5"/>
    <w:basedOn w:val="Normal"/>
    <w:uiPriority w:val="99"/>
    <w:semiHidden/>
    <w:unhideWhenUsed/>
    <w:rsid w:val="006E185D"/>
    <w:pPr>
      <w:spacing w:after="120"/>
      <w:ind w:left="1415"/>
      <w:contextualSpacing/>
    </w:pPr>
  </w:style>
  <w:style w:type="paragraph" w:styleId="ListNumber">
    <w:name w:val="List Number"/>
    <w:basedOn w:val="Normal"/>
    <w:uiPriority w:val="99"/>
    <w:semiHidden/>
    <w:unhideWhenUsed/>
    <w:rsid w:val="006E185D"/>
    <w:pPr>
      <w:numPr>
        <w:numId w:val="25"/>
      </w:numPr>
      <w:contextualSpacing/>
    </w:pPr>
  </w:style>
  <w:style w:type="paragraph" w:styleId="ListNumber2">
    <w:name w:val="List Number 2"/>
    <w:basedOn w:val="Normal"/>
    <w:uiPriority w:val="99"/>
    <w:semiHidden/>
    <w:unhideWhenUsed/>
    <w:rsid w:val="006E185D"/>
    <w:pPr>
      <w:numPr>
        <w:numId w:val="26"/>
      </w:numPr>
      <w:contextualSpacing/>
    </w:pPr>
  </w:style>
  <w:style w:type="paragraph" w:styleId="ListNumber3">
    <w:name w:val="List Number 3"/>
    <w:basedOn w:val="Normal"/>
    <w:uiPriority w:val="99"/>
    <w:semiHidden/>
    <w:unhideWhenUsed/>
    <w:rsid w:val="006E185D"/>
    <w:pPr>
      <w:numPr>
        <w:numId w:val="27"/>
      </w:numPr>
      <w:contextualSpacing/>
    </w:pPr>
  </w:style>
  <w:style w:type="paragraph" w:styleId="ListNumber4">
    <w:name w:val="List Number 4"/>
    <w:basedOn w:val="Normal"/>
    <w:uiPriority w:val="99"/>
    <w:semiHidden/>
    <w:unhideWhenUsed/>
    <w:rsid w:val="006E185D"/>
    <w:pPr>
      <w:numPr>
        <w:numId w:val="28"/>
      </w:numPr>
      <w:contextualSpacing/>
    </w:pPr>
  </w:style>
  <w:style w:type="paragraph" w:styleId="ListNumber5">
    <w:name w:val="List Number 5"/>
    <w:basedOn w:val="Normal"/>
    <w:uiPriority w:val="99"/>
    <w:semiHidden/>
    <w:unhideWhenUsed/>
    <w:rsid w:val="006E185D"/>
    <w:pPr>
      <w:numPr>
        <w:numId w:val="29"/>
      </w:numPr>
      <w:contextualSpacing/>
    </w:pPr>
  </w:style>
  <w:style w:type="paragraph" w:styleId="MacroText">
    <w:name w:val="macro"/>
    <w:link w:val="MacroTextChar"/>
    <w:uiPriority w:val="99"/>
    <w:semiHidden/>
    <w:unhideWhenUsed/>
    <w:rsid w:val="006E185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6E185D"/>
    <w:rPr>
      <w:rFonts w:ascii="Consolas" w:hAnsi="Consolas"/>
      <w:sz w:val="20"/>
      <w:szCs w:val="20"/>
    </w:rPr>
  </w:style>
  <w:style w:type="paragraph" w:styleId="MessageHeader">
    <w:name w:val="Message Header"/>
    <w:basedOn w:val="Normal"/>
    <w:link w:val="MessageHeaderChar"/>
    <w:uiPriority w:val="99"/>
    <w:semiHidden/>
    <w:unhideWhenUsed/>
    <w:rsid w:val="006E185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185D"/>
    <w:rPr>
      <w:rFonts w:asciiTheme="majorHAnsi" w:eastAsiaTheme="majorEastAsia" w:hAnsiTheme="majorHAnsi" w:cstheme="majorBidi"/>
      <w:shd w:val="pct20" w:color="auto" w:fill="auto"/>
    </w:rPr>
  </w:style>
  <w:style w:type="paragraph" w:styleId="NoSpacing">
    <w:name w:val="No Spacing"/>
    <w:uiPriority w:val="1"/>
    <w:qFormat/>
    <w:rsid w:val="006E185D"/>
  </w:style>
  <w:style w:type="paragraph" w:styleId="NormalWeb">
    <w:name w:val="Normal (Web)"/>
    <w:basedOn w:val="Normal"/>
    <w:uiPriority w:val="99"/>
    <w:semiHidden/>
    <w:unhideWhenUsed/>
    <w:rsid w:val="006E185D"/>
    <w:rPr>
      <w:rFonts w:ascii="Times New Roman" w:hAnsi="Times New Roman" w:cs="Times New Roman"/>
    </w:rPr>
  </w:style>
  <w:style w:type="paragraph" w:styleId="NormalIndent">
    <w:name w:val="Normal Indent"/>
    <w:basedOn w:val="Normal"/>
    <w:uiPriority w:val="99"/>
    <w:semiHidden/>
    <w:unhideWhenUsed/>
    <w:rsid w:val="006E185D"/>
    <w:pPr>
      <w:ind w:left="720"/>
    </w:pPr>
  </w:style>
  <w:style w:type="paragraph" w:styleId="NoteHeading">
    <w:name w:val="Note Heading"/>
    <w:basedOn w:val="Normal"/>
    <w:next w:val="Normal"/>
    <w:link w:val="NoteHeadingChar"/>
    <w:uiPriority w:val="99"/>
    <w:semiHidden/>
    <w:unhideWhenUsed/>
    <w:rsid w:val="006E185D"/>
  </w:style>
  <w:style w:type="character" w:customStyle="1" w:styleId="NoteHeadingChar">
    <w:name w:val="Note Heading Char"/>
    <w:basedOn w:val="DefaultParagraphFont"/>
    <w:link w:val="NoteHeading"/>
    <w:uiPriority w:val="99"/>
    <w:semiHidden/>
    <w:rsid w:val="006E185D"/>
  </w:style>
  <w:style w:type="paragraph" w:styleId="PlainText">
    <w:name w:val="Plain Text"/>
    <w:basedOn w:val="Normal"/>
    <w:link w:val="PlainTextChar"/>
    <w:uiPriority w:val="99"/>
    <w:semiHidden/>
    <w:unhideWhenUsed/>
    <w:rsid w:val="006E185D"/>
    <w:rPr>
      <w:rFonts w:ascii="Consolas" w:hAnsi="Consolas"/>
      <w:sz w:val="21"/>
      <w:szCs w:val="21"/>
    </w:rPr>
  </w:style>
  <w:style w:type="character" w:customStyle="1" w:styleId="PlainTextChar">
    <w:name w:val="Plain Text Char"/>
    <w:basedOn w:val="DefaultParagraphFont"/>
    <w:link w:val="PlainText"/>
    <w:uiPriority w:val="99"/>
    <w:semiHidden/>
    <w:rsid w:val="006E185D"/>
    <w:rPr>
      <w:rFonts w:ascii="Consolas" w:hAnsi="Consolas"/>
      <w:sz w:val="21"/>
      <w:szCs w:val="21"/>
    </w:rPr>
  </w:style>
  <w:style w:type="paragraph" w:styleId="Quote">
    <w:name w:val="Quote"/>
    <w:basedOn w:val="Normal"/>
    <w:next w:val="Normal"/>
    <w:link w:val="QuoteChar"/>
    <w:uiPriority w:val="29"/>
    <w:qFormat/>
    <w:rsid w:val="006E185D"/>
    <w:rPr>
      <w:i/>
      <w:iCs/>
      <w:color w:val="000000" w:themeColor="text1"/>
    </w:rPr>
  </w:style>
  <w:style w:type="character" w:customStyle="1" w:styleId="QuoteChar">
    <w:name w:val="Quote Char"/>
    <w:basedOn w:val="DefaultParagraphFont"/>
    <w:link w:val="Quote"/>
    <w:uiPriority w:val="29"/>
    <w:rsid w:val="006E185D"/>
    <w:rPr>
      <w:i/>
      <w:iCs/>
      <w:color w:val="000000" w:themeColor="text1"/>
    </w:rPr>
  </w:style>
  <w:style w:type="paragraph" w:styleId="Salutation">
    <w:name w:val="Salutation"/>
    <w:basedOn w:val="Normal"/>
    <w:next w:val="Normal"/>
    <w:link w:val="SalutationChar"/>
    <w:uiPriority w:val="99"/>
    <w:semiHidden/>
    <w:unhideWhenUsed/>
    <w:rsid w:val="006E185D"/>
  </w:style>
  <w:style w:type="character" w:customStyle="1" w:styleId="SalutationChar">
    <w:name w:val="Salutation Char"/>
    <w:basedOn w:val="DefaultParagraphFont"/>
    <w:link w:val="Salutation"/>
    <w:uiPriority w:val="99"/>
    <w:semiHidden/>
    <w:rsid w:val="006E185D"/>
  </w:style>
  <w:style w:type="paragraph" w:styleId="Signature">
    <w:name w:val="Signature"/>
    <w:basedOn w:val="Normal"/>
    <w:link w:val="SignatureChar"/>
    <w:uiPriority w:val="99"/>
    <w:semiHidden/>
    <w:unhideWhenUsed/>
    <w:rsid w:val="006E185D"/>
    <w:pPr>
      <w:ind w:left="4252"/>
    </w:pPr>
  </w:style>
  <w:style w:type="character" w:customStyle="1" w:styleId="SignatureChar">
    <w:name w:val="Signature Char"/>
    <w:basedOn w:val="DefaultParagraphFont"/>
    <w:link w:val="Signature"/>
    <w:uiPriority w:val="99"/>
    <w:semiHidden/>
    <w:rsid w:val="006E185D"/>
  </w:style>
  <w:style w:type="paragraph" w:styleId="Subtitle">
    <w:name w:val="Subtitle"/>
    <w:basedOn w:val="Normal"/>
    <w:next w:val="Normal"/>
    <w:link w:val="SubtitleChar"/>
    <w:uiPriority w:val="11"/>
    <w:qFormat/>
    <w:rsid w:val="006E185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E185D"/>
    <w:rPr>
      <w:rFonts w:asciiTheme="majorHAnsi" w:eastAsiaTheme="majorEastAsia" w:hAnsiTheme="majorHAnsi" w:cstheme="majorBidi"/>
      <w:i/>
      <w:iCs/>
      <w:color w:val="4F81BD" w:themeColor="accent1"/>
      <w:spacing w:val="15"/>
    </w:rPr>
  </w:style>
  <w:style w:type="paragraph" w:styleId="TableofAuthorities">
    <w:name w:val="table of authorities"/>
    <w:basedOn w:val="Normal"/>
    <w:next w:val="Normal"/>
    <w:uiPriority w:val="99"/>
    <w:semiHidden/>
    <w:unhideWhenUsed/>
    <w:rsid w:val="006E185D"/>
    <w:pPr>
      <w:ind w:left="240" w:hanging="240"/>
    </w:pPr>
  </w:style>
  <w:style w:type="paragraph" w:styleId="TableofFigures">
    <w:name w:val="table of figures"/>
    <w:basedOn w:val="Normal"/>
    <w:next w:val="Normal"/>
    <w:uiPriority w:val="99"/>
    <w:semiHidden/>
    <w:unhideWhenUsed/>
    <w:rsid w:val="006E185D"/>
  </w:style>
  <w:style w:type="paragraph" w:styleId="Title">
    <w:name w:val="Title"/>
    <w:basedOn w:val="Normal"/>
    <w:next w:val="Normal"/>
    <w:link w:val="TitleChar"/>
    <w:uiPriority w:val="10"/>
    <w:qFormat/>
    <w:rsid w:val="006E18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185D"/>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6E185D"/>
    <w:pPr>
      <w:spacing w:before="120"/>
    </w:pPr>
    <w:rPr>
      <w:rFonts w:asciiTheme="majorHAnsi" w:eastAsiaTheme="majorEastAsia" w:hAnsiTheme="majorHAnsi" w:cstheme="majorBidi"/>
      <w:b/>
      <w:bCs/>
    </w:rPr>
  </w:style>
  <w:style w:type="character" w:styleId="UnresolvedMention">
    <w:name w:val="Unresolved Mention"/>
    <w:basedOn w:val="DefaultParagraphFont"/>
    <w:uiPriority w:val="99"/>
    <w:semiHidden/>
    <w:unhideWhenUsed/>
    <w:rsid w:val="003B79EF"/>
    <w:rPr>
      <w:color w:val="605E5C"/>
      <w:shd w:val="clear" w:color="auto" w:fill="E1DFDD"/>
    </w:rPr>
  </w:style>
  <w:style w:type="character" w:styleId="FootnoteReference">
    <w:name w:val="footnote reference"/>
    <w:basedOn w:val="DefaultParagraphFont"/>
    <w:uiPriority w:val="99"/>
    <w:semiHidden/>
    <w:unhideWhenUsed/>
    <w:rsid w:val="00010E3C"/>
    <w:rPr>
      <w:vertAlign w:val="superscript"/>
    </w:rPr>
  </w:style>
  <w:style w:type="character" w:customStyle="1" w:styleId="normaltextrun">
    <w:name w:val="normaltextrun"/>
    <w:basedOn w:val="DefaultParagraphFont"/>
    <w:rsid w:val="00010E3C"/>
  </w:style>
  <w:style w:type="character" w:customStyle="1" w:styleId="eop">
    <w:name w:val="eop"/>
    <w:basedOn w:val="DefaultParagraphFont"/>
    <w:rsid w:val="00186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9086">
      <w:bodyDiv w:val="1"/>
      <w:marLeft w:val="0"/>
      <w:marRight w:val="0"/>
      <w:marTop w:val="0"/>
      <w:marBottom w:val="0"/>
      <w:divBdr>
        <w:top w:val="none" w:sz="0" w:space="0" w:color="auto"/>
        <w:left w:val="none" w:sz="0" w:space="0" w:color="auto"/>
        <w:bottom w:val="none" w:sz="0" w:space="0" w:color="auto"/>
        <w:right w:val="none" w:sz="0" w:space="0" w:color="auto"/>
      </w:divBdr>
    </w:div>
    <w:div w:id="144711522">
      <w:bodyDiv w:val="1"/>
      <w:marLeft w:val="0"/>
      <w:marRight w:val="0"/>
      <w:marTop w:val="0"/>
      <w:marBottom w:val="0"/>
      <w:divBdr>
        <w:top w:val="none" w:sz="0" w:space="0" w:color="auto"/>
        <w:left w:val="none" w:sz="0" w:space="0" w:color="auto"/>
        <w:bottom w:val="none" w:sz="0" w:space="0" w:color="auto"/>
        <w:right w:val="none" w:sz="0" w:space="0" w:color="auto"/>
      </w:divBdr>
    </w:div>
    <w:div w:id="213084290">
      <w:bodyDiv w:val="1"/>
      <w:marLeft w:val="0"/>
      <w:marRight w:val="0"/>
      <w:marTop w:val="0"/>
      <w:marBottom w:val="0"/>
      <w:divBdr>
        <w:top w:val="none" w:sz="0" w:space="0" w:color="auto"/>
        <w:left w:val="none" w:sz="0" w:space="0" w:color="auto"/>
        <w:bottom w:val="none" w:sz="0" w:space="0" w:color="auto"/>
        <w:right w:val="none" w:sz="0" w:space="0" w:color="auto"/>
      </w:divBdr>
      <w:divsChild>
        <w:div w:id="42950195">
          <w:marLeft w:val="0"/>
          <w:marRight w:val="0"/>
          <w:marTop w:val="0"/>
          <w:marBottom w:val="0"/>
          <w:divBdr>
            <w:top w:val="none" w:sz="0" w:space="0" w:color="auto"/>
            <w:left w:val="none" w:sz="0" w:space="0" w:color="auto"/>
            <w:bottom w:val="none" w:sz="0" w:space="0" w:color="auto"/>
            <w:right w:val="none" w:sz="0" w:space="0" w:color="auto"/>
          </w:divBdr>
        </w:div>
        <w:div w:id="72625268">
          <w:marLeft w:val="0"/>
          <w:marRight w:val="0"/>
          <w:marTop w:val="0"/>
          <w:marBottom w:val="0"/>
          <w:divBdr>
            <w:top w:val="none" w:sz="0" w:space="0" w:color="auto"/>
            <w:left w:val="none" w:sz="0" w:space="0" w:color="auto"/>
            <w:bottom w:val="none" w:sz="0" w:space="0" w:color="auto"/>
            <w:right w:val="none" w:sz="0" w:space="0" w:color="auto"/>
          </w:divBdr>
        </w:div>
        <w:div w:id="75636935">
          <w:marLeft w:val="0"/>
          <w:marRight w:val="0"/>
          <w:marTop w:val="0"/>
          <w:marBottom w:val="0"/>
          <w:divBdr>
            <w:top w:val="none" w:sz="0" w:space="0" w:color="auto"/>
            <w:left w:val="none" w:sz="0" w:space="0" w:color="auto"/>
            <w:bottom w:val="none" w:sz="0" w:space="0" w:color="auto"/>
            <w:right w:val="none" w:sz="0" w:space="0" w:color="auto"/>
          </w:divBdr>
        </w:div>
        <w:div w:id="80026630">
          <w:marLeft w:val="0"/>
          <w:marRight w:val="0"/>
          <w:marTop w:val="0"/>
          <w:marBottom w:val="0"/>
          <w:divBdr>
            <w:top w:val="none" w:sz="0" w:space="0" w:color="auto"/>
            <w:left w:val="none" w:sz="0" w:space="0" w:color="auto"/>
            <w:bottom w:val="none" w:sz="0" w:space="0" w:color="auto"/>
            <w:right w:val="none" w:sz="0" w:space="0" w:color="auto"/>
          </w:divBdr>
        </w:div>
        <w:div w:id="112478539">
          <w:marLeft w:val="0"/>
          <w:marRight w:val="0"/>
          <w:marTop w:val="0"/>
          <w:marBottom w:val="0"/>
          <w:divBdr>
            <w:top w:val="none" w:sz="0" w:space="0" w:color="auto"/>
            <w:left w:val="none" w:sz="0" w:space="0" w:color="auto"/>
            <w:bottom w:val="none" w:sz="0" w:space="0" w:color="auto"/>
            <w:right w:val="none" w:sz="0" w:space="0" w:color="auto"/>
          </w:divBdr>
        </w:div>
        <w:div w:id="121730426">
          <w:marLeft w:val="0"/>
          <w:marRight w:val="0"/>
          <w:marTop w:val="0"/>
          <w:marBottom w:val="0"/>
          <w:divBdr>
            <w:top w:val="none" w:sz="0" w:space="0" w:color="auto"/>
            <w:left w:val="none" w:sz="0" w:space="0" w:color="auto"/>
            <w:bottom w:val="none" w:sz="0" w:space="0" w:color="auto"/>
            <w:right w:val="none" w:sz="0" w:space="0" w:color="auto"/>
          </w:divBdr>
        </w:div>
        <w:div w:id="128132037">
          <w:marLeft w:val="0"/>
          <w:marRight w:val="0"/>
          <w:marTop w:val="0"/>
          <w:marBottom w:val="0"/>
          <w:divBdr>
            <w:top w:val="none" w:sz="0" w:space="0" w:color="auto"/>
            <w:left w:val="none" w:sz="0" w:space="0" w:color="auto"/>
            <w:bottom w:val="none" w:sz="0" w:space="0" w:color="auto"/>
            <w:right w:val="none" w:sz="0" w:space="0" w:color="auto"/>
          </w:divBdr>
        </w:div>
        <w:div w:id="131945321">
          <w:marLeft w:val="0"/>
          <w:marRight w:val="0"/>
          <w:marTop w:val="0"/>
          <w:marBottom w:val="0"/>
          <w:divBdr>
            <w:top w:val="none" w:sz="0" w:space="0" w:color="auto"/>
            <w:left w:val="none" w:sz="0" w:space="0" w:color="auto"/>
            <w:bottom w:val="none" w:sz="0" w:space="0" w:color="auto"/>
            <w:right w:val="none" w:sz="0" w:space="0" w:color="auto"/>
          </w:divBdr>
        </w:div>
        <w:div w:id="137577106">
          <w:marLeft w:val="0"/>
          <w:marRight w:val="0"/>
          <w:marTop w:val="0"/>
          <w:marBottom w:val="0"/>
          <w:divBdr>
            <w:top w:val="none" w:sz="0" w:space="0" w:color="auto"/>
            <w:left w:val="none" w:sz="0" w:space="0" w:color="auto"/>
            <w:bottom w:val="none" w:sz="0" w:space="0" w:color="auto"/>
            <w:right w:val="none" w:sz="0" w:space="0" w:color="auto"/>
          </w:divBdr>
        </w:div>
        <w:div w:id="169175099">
          <w:marLeft w:val="0"/>
          <w:marRight w:val="0"/>
          <w:marTop w:val="0"/>
          <w:marBottom w:val="0"/>
          <w:divBdr>
            <w:top w:val="none" w:sz="0" w:space="0" w:color="auto"/>
            <w:left w:val="none" w:sz="0" w:space="0" w:color="auto"/>
            <w:bottom w:val="none" w:sz="0" w:space="0" w:color="auto"/>
            <w:right w:val="none" w:sz="0" w:space="0" w:color="auto"/>
          </w:divBdr>
        </w:div>
        <w:div w:id="190460982">
          <w:marLeft w:val="0"/>
          <w:marRight w:val="0"/>
          <w:marTop w:val="0"/>
          <w:marBottom w:val="0"/>
          <w:divBdr>
            <w:top w:val="none" w:sz="0" w:space="0" w:color="auto"/>
            <w:left w:val="none" w:sz="0" w:space="0" w:color="auto"/>
            <w:bottom w:val="none" w:sz="0" w:space="0" w:color="auto"/>
            <w:right w:val="none" w:sz="0" w:space="0" w:color="auto"/>
          </w:divBdr>
        </w:div>
        <w:div w:id="195119935">
          <w:marLeft w:val="0"/>
          <w:marRight w:val="0"/>
          <w:marTop w:val="0"/>
          <w:marBottom w:val="0"/>
          <w:divBdr>
            <w:top w:val="none" w:sz="0" w:space="0" w:color="auto"/>
            <w:left w:val="none" w:sz="0" w:space="0" w:color="auto"/>
            <w:bottom w:val="none" w:sz="0" w:space="0" w:color="auto"/>
            <w:right w:val="none" w:sz="0" w:space="0" w:color="auto"/>
          </w:divBdr>
        </w:div>
        <w:div w:id="201333239">
          <w:marLeft w:val="0"/>
          <w:marRight w:val="0"/>
          <w:marTop w:val="0"/>
          <w:marBottom w:val="0"/>
          <w:divBdr>
            <w:top w:val="none" w:sz="0" w:space="0" w:color="auto"/>
            <w:left w:val="none" w:sz="0" w:space="0" w:color="auto"/>
            <w:bottom w:val="none" w:sz="0" w:space="0" w:color="auto"/>
            <w:right w:val="none" w:sz="0" w:space="0" w:color="auto"/>
          </w:divBdr>
        </w:div>
        <w:div w:id="203954154">
          <w:marLeft w:val="0"/>
          <w:marRight w:val="0"/>
          <w:marTop w:val="0"/>
          <w:marBottom w:val="0"/>
          <w:divBdr>
            <w:top w:val="none" w:sz="0" w:space="0" w:color="auto"/>
            <w:left w:val="none" w:sz="0" w:space="0" w:color="auto"/>
            <w:bottom w:val="none" w:sz="0" w:space="0" w:color="auto"/>
            <w:right w:val="none" w:sz="0" w:space="0" w:color="auto"/>
          </w:divBdr>
        </w:div>
        <w:div w:id="207844287">
          <w:marLeft w:val="0"/>
          <w:marRight w:val="0"/>
          <w:marTop w:val="0"/>
          <w:marBottom w:val="0"/>
          <w:divBdr>
            <w:top w:val="none" w:sz="0" w:space="0" w:color="auto"/>
            <w:left w:val="none" w:sz="0" w:space="0" w:color="auto"/>
            <w:bottom w:val="none" w:sz="0" w:space="0" w:color="auto"/>
            <w:right w:val="none" w:sz="0" w:space="0" w:color="auto"/>
          </w:divBdr>
        </w:div>
        <w:div w:id="215818692">
          <w:marLeft w:val="0"/>
          <w:marRight w:val="0"/>
          <w:marTop w:val="0"/>
          <w:marBottom w:val="0"/>
          <w:divBdr>
            <w:top w:val="none" w:sz="0" w:space="0" w:color="auto"/>
            <w:left w:val="none" w:sz="0" w:space="0" w:color="auto"/>
            <w:bottom w:val="none" w:sz="0" w:space="0" w:color="auto"/>
            <w:right w:val="none" w:sz="0" w:space="0" w:color="auto"/>
          </w:divBdr>
        </w:div>
        <w:div w:id="224492418">
          <w:marLeft w:val="0"/>
          <w:marRight w:val="0"/>
          <w:marTop w:val="0"/>
          <w:marBottom w:val="0"/>
          <w:divBdr>
            <w:top w:val="none" w:sz="0" w:space="0" w:color="auto"/>
            <w:left w:val="none" w:sz="0" w:space="0" w:color="auto"/>
            <w:bottom w:val="none" w:sz="0" w:space="0" w:color="auto"/>
            <w:right w:val="none" w:sz="0" w:space="0" w:color="auto"/>
          </w:divBdr>
        </w:div>
        <w:div w:id="245844143">
          <w:marLeft w:val="0"/>
          <w:marRight w:val="0"/>
          <w:marTop w:val="0"/>
          <w:marBottom w:val="0"/>
          <w:divBdr>
            <w:top w:val="none" w:sz="0" w:space="0" w:color="auto"/>
            <w:left w:val="none" w:sz="0" w:space="0" w:color="auto"/>
            <w:bottom w:val="none" w:sz="0" w:space="0" w:color="auto"/>
            <w:right w:val="none" w:sz="0" w:space="0" w:color="auto"/>
          </w:divBdr>
        </w:div>
        <w:div w:id="250937831">
          <w:marLeft w:val="0"/>
          <w:marRight w:val="0"/>
          <w:marTop w:val="0"/>
          <w:marBottom w:val="0"/>
          <w:divBdr>
            <w:top w:val="none" w:sz="0" w:space="0" w:color="auto"/>
            <w:left w:val="none" w:sz="0" w:space="0" w:color="auto"/>
            <w:bottom w:val="none" w:sz="0" w:space="0" w:color="auto"/>
            <w:right w:val="none" w:sz="0" w:space="0" w:color="auto"/>
          </w:divBdr>
        </w:div>
        <w:div w:id="254287198">
          <w:marLeft w:val="0"/>
          <w:marRight w:val="0"/>
          <w:marTop w:val="0"/>
          <w:marBottom w:val="0"/>
          <w:divBdr>
            <w:top w:val="none" w:sz="0" w:space="0" w:color="auto"/>
            <w:left w:val="none" w:sz="0" w:space="0" w:color="auto"/>
            <w:bottom w:val="none" w:sz="0" w:space="0" w:color="auto"/>
            <w:right w:val="none" w:sz="0" w:space="0" w:color="auto"/>
          </w:divBdr>
        </w:div>
        <w:div w:id="255557385">
          <w:marLeft w:val="0"/>
          <w:marRight w:val="0"/>
          <w:marTop w:val="0"/>
          <w:marBottom w:val="0"/>
          <w:divBdr>
            <w:top w:val="none" w:sz="0" w:space="0" w:color="auto"/>
            <w:left w:val="none" w:sz="0" w:space="0" w:color="auto"/>
            <w:bottom w:val="none" w:sz="0" w:space="0" w:color="auto"/>
            <w:right w:val="none" w:sz="0" w:space="0" w:color="auto"/>
          </w:divBdr>
        </w:div>
        <w:div w:id="263608937">
          <w:marLeft w:val="0"/>
          <w:marRight w:val="0"/>
          <w:marTop w:val="0"/>
          <w:marBottom w:val="0"/>
          <w:divBdr>
            <w:top w:val="none" w:sz="0" w:space="0" w:color="auto"/>
            <w:left w:val="none" w:sz="0" w:space="0" w:color="auto"/>
            <w:bottom w:val="none" w:sz="0" w:space="0" w:color="auto"/>
            <w:right w:val="none" w:sz="0" w:space="0" w:color="auto"/>
          </w:divBdr>
        </w:div>
        <w:div w:id="283586992">
          <w:marLeft w:val="0"/>
          <w:marRight w:val="0"/>
          <w:marTop w:val="0"/>
          <w:marBottom w:val="0"/>
          <w:divBdr>
            <w:top w:val="none" w:sz="0" w:space="0" w:color="auto"/>
            <w:left w:val="none" w:sz="0" w:space="0" w:color="auto"/>
            <w:bottom w:val="none" w:sz="0" w:space="0" w:color="auto"/>
            <w:right w:val="none" w:sz="0" w:space="0" w:color="auto"/>
          </w:divBdr>
          <w:divsChild>
            <w:div w:id="2075930558">
              <w:marLeft w:val="0"/>
              <w:marRight w:val="0"/>
              <w:marTop w:val="0"/>
              <w:marBottom w:val="0"/>
              <w:divBdr>
                <w:top w:val="none" w:sz="0" w:space="0" w:color="auto"/>
                <w:left w:val="none" w:sz="0" w:space="0" w:color="auto"/>
                <w:bottom w:val="none" w:sz="0" w:space="0" w:color="auto"/>
                <w:right w:val="none" w:sz="0" w:space="0" w:color="auto"/>
              </w:divBdr>
            </w:div>
          </w:divsChild>
        </w:div>
        <w:div w:id="318576741">
          <w:marLeft w:val="0"/>
          <w:marRight w:val="0"/>
          <w:marTop w:val="0"/>
          <w:marBottom w:val="0"/>
          <w:divBdr>
            <w:top w:val="none" w:sz="0" w:space="0" w:color="auto"/>
            <w:left w:val="none" w:sz="0" w:space="0" w:color="auto"/>
            <w:bottom w:val="none" w:sz="0" w:space="0" w:color="auto"/>
            <w:right w:val="none" w:sz="0" w:space="0" w:color="auto"/>
          </w:divBdr>
        </w:div>
        <w:div w:id="335117128">
          <w:marLeft w:val="0"/>
          <w:marRight w:val="0"/>
          <w:marTop w:val="0"/>
          <w:marBottom w:val="0"/>
          <w:divBdr>
            <w:top w:val="none" w:sz="0" w:space="0" w:color="auto"/>
            <w:left w:val="none" w:sz="0" w:space="0" w:color="auto"/>
            <w:bottom w:val="none" w:sz="0" w:space="0" w:color="auto"/>
            <w:right w:val="none" w:sz="0" w:space="0" w:color="auto"/>
          </w:divBdr>
        </w:div>
        <w:div w:id="344603046">
          <w:marLeft w:val="0"/>
          <w:marRight w:val="0"/>
          <w:marTop w:val="0"/>
          <w:marBottom w:val="0"/>
          <w:divBdr>
            <w:top w:val="none" w:sz="0" w:space="0" w:color="auto"/>
            <w:left w:val="none" w:sz="0" w:space="0" w:color="auto"/>
            <w:bottom w:val="none" w:sz="0" w:space="0" w:color="auto"/>
            <w:right w:val="none" w:sz="0" w:space="0" w:color="auto"/>
          </w:divBdr>
        </w:div>
        <w:div w:id="344792763">
          <w:marLeft w:val="0"/>
          <w:marRight w:val="0"/>
          <w:marTop w:val="0"/>
          <w:marBottom w:val="0"/>
          <w:divBdr>
            <w:top w:val="none" w:sz="0" w:space="0" w:color="auto"/>
            <w:left w:val="none" w:sz="0" w:space="0" w:color="auto"/>
            <w:bottom w:val="none" w:sz="0" w:space="0" w:color="auto"/>
            <w:right w:val="none" w:sz="0" w:space="0" w:color="auto"/>
          </w:divBdr>
        </w:div>
        <w:div w:id="421875063">
          <w:marLeft w:val="0"/>
          <w:marRight w:val="0"/>
          <w:marTop w:val="0"/>
          <w:marBottom w:val="0"/>
          <w:divBdr>
            <w:top w:val="none" w:sz="0" w:space="0" w:color="auto"/>
            <w:left w:val="none" w:sz="0" w:space="0" w:color="auto"/>
            <w:bottom w:val="none" w:sz="0" w:space="0" w:color="auto"/>
            <w:right w:val="none" w:sz="0" w:space="0" w:color="auto"/>
          </w:divBdr>
        </w:div>
        <w:div w:id="425804816">
          <w:marLeft w:val="0"/>
          <w:marRight w:val="0"/>
          <w:marTop w:val="0"/>
          <w:marBottom w:val="0"/>
          <w:divBdr>
            <w:top w:val="none" w:sz="0" w:space="0" w:color="auto"/>
            <w:left w:val="none" w:sz="0" w:space="0" w:color="auto"/>
            <w:bottom w:val="none" w:sz="0" w:space="0" w:color="auto"/>
            <w:right w:val="none" w:sz="0" w:space="0" w:color="auto"/>
          </w:divBdr>
        </w:div>
        <w:div w:id="430394226">
          <w:marLeft w:val="0"/>
          <w:marRight w:val="0"/>
          <w:marTop w:val="0"/>
          <w:marBottom w:val="0"/>
          <w:divBdr>
            <w:top w:val="none" w:sz="0" w:space="0" w:color="auto"/>
            <w:left w:val="none" w:sz="0" w:space="0" w:color="auto"/>
            <w:bottom w:val="none" w:sz="0" w:space="0" w:color="auto"/>
            <w:right w:val="none" w:sz="0" w:space="0" w:color="auto"/>
          </w:divBdr>
        </w:div>
        <w:div w:id="452210628">
          <w:marLeft w:val="0"/>
          <w:marRight w:val="0"/>
          <w:marTop w:val="0"/>
          <w:marBottom w:val="0"/>
          <w:divBdr>
            <w:top w:val="none" w:sz="0" w:space="0" w:color="auto"/>
            <w:left w:val="none" w:sz="0" w:space="0" w:color="auto"/>
            <w:bottom w:val="none" w:sz="0" w:space="0" w:color="auto"/>
            <w:right w:val="none" w:sz="0" w:space="0" w:color="auto"/>
          </w:divBdr>
        </w:div>
        <w:div w:id="457066637">
          <w:marLeft w:val="0"/>
          <w:marRight w:val="0"/>
          <w:marTop w:val="0"/>
          <w:marBottom w:val="0"/>
          <w:divBdr>
            <w:top w:val="none" w:sz="0" w:space="0" w:color="auto"/>
            <w:left w:val="none" w:sz="0" w:space="0" w:color="auto"/>
            <w:bottom w:val="none" w:sz="0" w:space="0" w:color="auto"/>
            <w:right w:val="none" w:sz="0" w:space="0" w:color="auto"/>
          </w:divBdr>
        </w:div>
        <w:div w:id="472405007">
          <w:marLeft w:val="0"/>
          <w:marRight w:val="0"/>
          <w:marTop w:val="0"/>
          <w:marBottom w:val="0"/>
          <w:divBdr>
            <w:top w:val="none" w:sz="0" w:space="0" w:color="auto"/>
            <w:left w:val="none" w:sz="0" w:space="0" w:color="auto"/>
            <w:bottom w:val="none" w:sz="0" w:space="0" w:color="auto"/>
            <w:right w:val="none" w:sz="0" w:space="0" w:color="auto"/>
          </w:divBdr>
        </w:div>
        <w:div w:id="493646691">
          <w:marLeft w:val="0"/>
          <w:marRight w:val="0"/>
          <w:marTop w:val="0"/>
          <w:marBottom w:val="0"/>
          <w:divBdr>
            <w:top w:val="none" w:sz="0" w:space="0" w:color="auto"/>
            <w:left w:val="none" w:sz="0" w:space="0" w:color="auto"/>
            <w:bottom w:val="none" w:sz="0" w:space="0" w:color="auto"/>
            <w:right w:val="none" w:sz="0" w:space="0" w:color="auto"/>
          </w:divBdr>
        </w:div>
        <w:div w:id="554971762">
          <w:marLeft w:val="0"/>
          <w:marRight w:val="0"/>
          <w:marTop w:val="0"/>
          <w:marBottom w:val="0"/>
          <w:divBdr>
            <w:top w:val="none" w:sz="0" w:space="0" w:color="auto"/>
            <w:left w:val="none" w:sz="0" w:space="0" w:color="auto"/>
            <w:bottom w:val="none" w:sz="0" w:space="0" w:color="auto"/>
            <w:right w:val="none" w:sz="0" w:space="0" w:color="auto"/>
          </w:divBdr>
        </w:div>
        <w:div w:id="624240765">
          <w:marLeft w:val="0"/>
          <w:marRight w:val="0"/>
          <w:marTop w:val="0"/>
          <w:marBottom w:val="0"/>
          <w:divBdr>
            <w:top w:val="none" w:sz="0" w:space="0" w:color="auto"/>
            <w:left w:val="none" w:sz="0" w:space="0" w:color="auto"/>
            <w:bottom w:val="none" w:sz="0" w:space="0" w:color="auto"/>
            <w:right w:val="none" w:sz="0" w:space="0" w:color="auto"/>
          </w:divBdr>
        </w:div>
        <w:div w:id="626354309">
          <w:marLeft w:val="0"/>
          <w:marRight w:val="0"/>
          <w:marTop w:val="0"/>
          <w:marBottom w:val="0"/>
          <w:divBdr>
            <w:top w:val="none" w:sz="0" w:space="0" w:color="auto"/>
            <w:left w:val="none" w:sz="0" w:space="0" w:color="auto"/>
            <w:bottom w:val="none" w:sz="0" w:space="0" w:color="auto"/>
            <w:right w:val="none" w:sz="0" w:space="0" w:color="auto"/>
          </w:divBdr>
        </w:div>
        <w:div w:id="642122422">
          <w:marLeft w:val="0"/>
          <w:marRight w:val="0"/>
          <w:marTop w:val="0"/>
          <w:marBottom w:val="0"/>
          <w:divBdr>
            <w:top w:val="none" w:sz="0" w:space="0" w:color="auto"/>
            <w:left w:val="none" w:sz="0" w:space="0" w:color="auto"/>
            <w:bottom w:val="none" w:sz="0" w:space="0" w:color="auto"/>
            <w:right w:val="none" w:sz="0" w:space="0" w:color="auto"/>
          </w:divBdr>
        </w:div>
        <w:div w:id="644622389">
          <w:marLeft w:val="0"/>
          <w:marRight w:val="0"/>
          <w:marTop w:val="0"/>
          <w:marBottom w:val="0"/>
          <w:divBdr>
            <w:top w:val="none" w:sz="0" w:space="0" w:color="auto"/>
            <w:left w:val="none" w:sz="0" w:space="0" w:color="auto"/>
            <w:bottom w:val="none" w:sz="0" w:space="0" w:color="auto"/>
            <w:right w:val="none" w:sz="0" w:space="0" w:color="auto"/>
          </w:divBdr>
        </w:div>
        <w:div w:id="649552270">
          <w:marLeft w:val="0"/>
          <w:marRight w:val="0"/>
          <w:marTop w:val="0"/>
          <w:marBottom w:val="0"/>
          <w:divBdr>
            <w:top w:val="none" w:sz="0" w:space="0" w:color="auto"/>
            <w:left w:val="none" w:sz="0" w:space="0" w:color="auto"/>
            <w:bottom w:val="none" w:sz="0" w:space="0" w:color="auto"/>
            <w:right w:val="none" w:sz="0" w:space="0" w:color="auto"/>
          </w:divBdr>
        </w:div>
        <w:div w:id="659045446">
          <w:marLeft w:val="0"/>
          <w:marRight w:val="0"/>
          <w:marTop w:val="0"/>
          <w:marBottom w:val="0"/>
          <w:divBdr>
            <w:top w:val="none" w:sz="0" w:space="0" w:color="auto"/>
            <w:left w:val="none" w:sz="0" w:space="0" w:color="auto"/>
            <w:bottom w:val="none" w:sz="0" w:space="0" w:color="auto"/>
            <w:right w:val="none" w:sz="0" w:space="0" w:color="auto"/>
          </w:divBdr>
        </w:div>
        <w:div w:id="682435336">
          <w:marLeft w:val="0"/>
          <w:marRight w:val="0"/>
          <w:marTop w:val="0"/>
          <w:marBottom w:val="0"/>
          <w:divBdr>
            <w:top w:val="none" w:sz="0" w:space="0" w:color="auto"/>
            <w:left w:val="none" w:sz="0" w:space="0" w:color="auto"/>
            <w:bottom w:val="none" w:sz="0" w:space="0" w:color="auto"/>
            <w:right w:val="none" w:sz="0" w:space="0" w:color="auto"/>
          </w:divBdr>
        </w:div>
        <w:div w:id="723066954">
          <w:marLeft w:val="0"/>
          <w:marRight w:val="0"/>
          <w:marTop w:val="0"/>
          <w:marBottom w:val="0"/>
          <w:divBdr>
            <w:top w:val="none" w:sz="0" w:space="0" w:color="auto"/>
            <w:left w:val="none" w:sz="0" w:space="0" w:color="auto"/>
            <w:bottom w:val="none" w:sz="0" w:space="0" w:color="auto"/>
            <w:right w:val="none" w:sz="0" w:space="0" w:color="auto"/>
          </w:divBdr>
        </w:div>
        <w:div w:id="756705661">
          <w:marLeft w:val="0"/>
          <w:marRight w:val="0"/>
          <w:marTop w:val="0"/>
          <w:marBottom w:val="0"/>
          <w:divBdr>
            <w:top w:val="none" w:sz="0" w:space="0" w:color="auto"/>
            <w:left w:val="none" w:sz="0" w:space="0" w:color="auto"/>
            <w:bottom w:val="none" w:sz="0" w:space="0" w:color="auto"/>
            <w:right w:val="none" w:sz="0" w:space="0" w:color="auto"/>
          </w:divBdr>
        </w:div>
        <w:div w:id="771901480">
          <w:marLeft w:val="0"/>
          <w:marRight w:val="0"/>
          <w:marTop w:val="0"/>
          <w:marBottom w:val="0"/>
          <w:divBdr>
            <w:top w:val="none" w:sz="0" w:space="0" w:color="auto"/>
            <w:left w:val="none" w:sz="0" w:space="0" w:color="auto"/>
            <w:bottom w:val="none" w:sz="0" w:space="0" w:color="auto"/>
            <w:right w:val="none" w:sz="0" w:space="0" w:color="auto"/>
          </w:divBdr>
        </w:div>
        <w:div w:id="779224723">
          <w:marLeft w:val="0"/>
          <w:marRight w:val="0"/>
          <w:marTop w:val="0"/>
          <w:marBottom w:val="0"/>
          <w:divBdr>
            <w:top w:val="none" w:sz="0" w:space="0" w:color="auto"/>
            <w:left w:val="none" w:sz="0" w:space="0" w:color="auto"/>
            <w:bottom w:val="none" w:sz="0" w:space="0" w:color="auto"/>
            <w:right w:val="none" w:sz="0" w:space="0" w:color="auto"/>
          </w:divBdr>
        </w:div>
        <w:div w:id="788399257">
          <w:marLeft w:val="0"/>
          <w:marRight w:val="0"/>
          <w:marTop w:val="0"/>
          <w:marBottom w:val="0"/>
          <w:divBdr>
            <w:top w:val="none" w:sz="0" w:space="0" w:color="auto"/>
            <w:left w:val="none" w:sz="0" w:space="0" w:color="auto"/>
            <w:bottom w:val="none" w:sz="0" w:space="0" w:color="auto"/>
            <w:right w:val="none" w:sz="0" w:space="0" w:color="auto"/>
          </w:divBdr>
        </w:div>
        <w:div w:id="805899549">
          <w:marLeft w:val="0"/>
          <w:marRight w:val="0"/>
          <w:marTop w:val="0"/>
          <w:marBottom w:val="0"/>
          <w:divBdr>
            <w:top w:val="none" w:sz="0" w:space="0" w:color="auto"/>
            <w:left w:val="none" w:sz="0" w:space="0" w:color="auto"/>
            <w:bottom w:val="none" w:sz="0" w:space="0" w:color="auto"/>
            <w:right w:val="none" w:sz="0" w:space="0" w:color="auto"/>
          </w:divBdr>
        </w:div>
        <w:div w:id="851649082">
          <w:marLeft w:val="0"/>
          <w:marRight w:val="0"/>
          <w:marTop w:val="0"/>
          <w:marBottom w:val="0"/>
          <w:divBdr>
            <w:top w:val="none" w:sz="0" w:space="0" w:color="auto"/>
            <w:left w:val="none" w:sz="0" w:space="0" w:color="auto"/>
            <w:bottom w:val="none" w:sz="0" w:space="0" w:color="auto"/>
            <w:right w:val="none" w:sz="0" w:space="0" w:color="auto"/>
          </w:divBdr>
        </w:div>
        <w:div w:id="876505973">
          <w:marLeft w:val="0"/>
          <w:marRight w:val="0"/>
          <w:marTop w:val="0"/>
          <w:marBottom w:val="0"/>
          <w:divBdr>
            <w:top w:val="none" w:sz="0" w:space="0" w:color="auto"/>
            <w:left w:val="none" w:sz="0" w:space="0" w:color="auto"/>
            <w:bottom w:val="none" w:sz="0" w:space="0" w:color="auto"/>
            <w:right w:val="none" w:sz="0" w:space="0" w:color="auto"/>
          </w:divBdr>
        </w:div>
        <w:div w:id="880433820">
          <w:marLeft w:val="0"/>
          <w:marRight w:val="0"/>
          <w:marTop w:val="0"/>
          <w:marBottom w:val="0"/>
          <w:divBdr>
            <w:top w:val="none" w:sz="0" w:space="0" w:color="auto"/>
            <w:left w:val="none" w:sz="0" w:space="0" w:color="auto"/>
            <w:bottom w:val="none" w:sz="0" w:space="0" w:color="auto"/>
            <w:right w:val="none" w:sz="0" w:space="0" w:color="auto"/>
          </w:divBdr>
        </w:div>
        <w:div w:id="917860086">
          <w:marLeft w:val="0"/>
          <w:marRight w:val="0"/>
          <w:marTop w:val="0"/>
          <w:marBottom w:val="0"/>
          <w:divBdr>
            <w:top w:val="none" w:sz="0" w:space="0" w:color="auto"/>
            <w:left w:val="none" w:sz="0" w:space="0" w:color="auto"/>
            <w:bottom w:val="none" w:sz="0" w:space="0" w:color="auto"/>
            <w:right w:val="none" w:sz="0" w:space="0" w:color="auto"/>
          </w:divBdr>
        </w:div>
        <w:div w:id="945816500">
          <w:marLeft w:val="0"/>
          <w:marRight w:val="0"/>
          <w:marTop w:val="0"/>
          <w:marBottom w:val="0"/>
          <w:divBdr>
            <w:top w:val="none" w:sz="0" w:space="0" w:color="auto"/>
            <w:left w:val="none" w:sz="0" w:space="0" w:color="auto"/>
            <w:bottom w:val="none" w:sz="0" w:space="0" w:color="auto"/>
            <w:right w:val="none" w:sz="0" w:space="0" w:color="auto"/>
          </w:divBdr>
        </w:div>
        <w:div w:id="950667626">
          <w:marLeft w:val="0"/>
          <w:marRight w:val="0"/>
          <w:marTop w:val="0"/>
          <w:marBottom w:val="0"/>
          <w:divBdr>
            <w:top w:val="none" w:sz="0" w:space="0" w:color="auto"/>
            <w:left w:val="none" w:sz="0" w:space="0" w:color="auto"/>
            <w:bottom w:val="none" w:sz="0" w:space="0" w:color="auto"/>
            <w:right w:val="none" w:sz="0" w:space="0" w:color="auto"/>
          </w:divBdr>
        </w:div>
        <w:div w:id="951520384">
          <w:marLeft w:val="0"/>
          <w:marRight w:val="0"/>
          <w:marTop w:val="0"/>
          <w:marBottom w:val="0"/>
          <w:divBdr>
            <w:top w:val="none" w:sz="0" w:space="0" w:color="auto"/>
            <w:left w:val="none" w:sz="0" w:space="0" w:color="auto"/>
            <w:bottom w:val="none" w:sz="0" w:space="0" w:color="auto"/>
            <w:right w:val="none" w:sz="0" w:space="0" w:color="auto"/>
          </w:divBdr>
          <w:divsChild>
            <w:div w:id="1101221288">
              <w:marLeft w:val="0"/>
              <w:marRight w:val="0"/>
              <w:marTop w:val="0"/>
              <w:marBottom w:val="0"/>
              <w:divBdr>
                <w:top w:val="none" w:sz="0" w:space="0" w:color="auto"/>
                <w:left w:val="none" w:sz="0" w:space="0" w:color="auto"/>
                <w:bottom w:val="none" w:sz="0" w:space="0" w:color="auto"/>
                <w:right w:val="none" w:sz="0" w:space="0" w:color="auto"/>
              </w:divBdr>
            </w:div>
            <w:div w:id="1228803885">
              <w:marLeft w:val="0"/>
              <w:marRight w:val="0"/>
              <w:marTop w:val="0"/>
              <w:marBottom w:val="0"/>
              <w:divBdr>
                <w:top w:val="none" w:sz="0" w:space="0" w:color="auto"/>
                <w:left w:val="none" w:sz="0" w:space="0" w:color="auto"/>
                <w:bottom w:val="none" w:sz="0" w:space="0" w:color="auto"/>
                <w:right w:val="none" w:sz="0" w:space="0" w:color="auto"/>
              </w:divBdr>
            </w:div>
          </w:divsChild>
        </w:div>
        <w:div w:id="969631009">
          <w:marLeft w:val="0"/>
          <w:marRight w:val="0"/>
          <w:marTop w:val="0"/>
          <w:marBottom w:val="0"/>
          <w:divBdr>
            <w:top w:val="none" w:sz="0" w:space="0" w:color="auto"/>
            <w:left w:val="none" w:sz="0" w:space="0" w:color="auto"/>
            <w:bottom w:val="none" w:sz="0" w:space="0" w:color="auto"/>
            <w:right w:val="none" w:sz="0" w:space="0" w:color="auto"/>
          </w:divBdr>
        </w:div>
        <w:div w:id="980354261">
          <w:marLeft w:val="0"/>
          <w:marRight w:val="0"/>
          <w:marTop w:val="0"/>
          <w:marBottom w:val="0"/>
          <w:divBdr>
            <w:top w:val="none" w:sz="0" w:space="0" w:color="auto"/>
            <w:left w:val="none" w:sz="0" w:space="0" w:color="auto"/>
            <w:bottom w:val="none" w:sz="0" w:space="0" w:color="auto"/>
            <w:right w:val="none" w:sz="0" w:space="0" w:color="auto"/>
          </w:divBdr>
        </w:div>
        <w:div w:id="982198871">
          <w:marLeft w:val="0"/>
          <w:marRight w:val="0"/>
          <w:marTop w:val="0"/>
          <w:marBottom w:val="0"/>
          <w:divBdr>
            <w:top w:val="none" w:sz="0" w:space="0" w:color="auto"/>
            <w:left w:val="none" w:sz="0" w:space="0" w:color="auto"/>
            <w:bottom w:val="none" w:sz="0" w:space="0" w:color="auto"/>
            <w:right w:val="none" w:sz="0" w:space="0" w:color="auto"/>
          </w:divBdr>
        </w:div>
        <w:div w:id="1016270045">
          <w:marLeft w:val="0"/>
          <w:marRight w:val="0"/>
          <w:marTop w:val="0"/>
          <w:marBottom w:val="0"/>
          <w:divBdr>
            <w:top w:val="none" w:sz="0" w:space="0" w:color="auto"/>
            <w:left w:val="none" w:sz="0" w:space="0" w:color="auto"/>
            <w:bottom w:val="none" w:sz="0" w:space="0" w:color="auto"/>
            <w:right w:val="none" w:sz="0" w:space="0" w:color="auto"/>
          </w:divBdr>
        </w:div>
        <w:div w:id="1021588032">
          <w:marLeft w:val="0"/>
          <w:marRight w:val="0"/>
          <w:marTop w:val="0"/>
          <w:marBottom w:val="0"/>
          <w:divBdr>
            <w:top w:val="none" w:sz="0" w:space="0" w:color="auto"/>
            <w:left w:val="none" w:sz="0" w:space="0" w:color="auto"/>
            <w:bottom w:val="none" w:sz="0" w:space="0" w:color="auto"/>
            <w:right w:val="none" w:sz="0" w:space="0" w:color="auto"/>
          </w:divBdr>
        </w:div>
        <w:div w:id="1037201420">
          <w:marLeft w:val="0"/>
          <w:marRight w:val="0"/>
          <w:marTop w:val="0"/>
          <w:marBottom w:val="0"/>
          <w:divBdr>
            <w:top w:val="none" w:sz="0" w:space="0" w:color="auto"/>
            <w:left w:val="none" w:sz="0" w:space="0" w:color="auto"/>
            <w:bottom w:val="none" w:sz="0" w:space="0" w:color="auto"/>
            <w:right w:val="none" w:sz="0" w:space="0" w:color="auto"/>
          </w:divBdr>
        </w:div>
        <w:div w:id="1158301431">
          <w:marLeft w:val="0"/>
          <w:marRight w:val="0"/>
          <w:marTop w:val="0"/>
          <w:marBottom w:val="0"/>
          <w:divBdr>
            <w:top w:val="none" w:sz="0" w:space="0" w:color="auto"/>
            <w:left w:val="none" w:sz="0" w:space="0" w:color="auto"/>
            <w:bottom w:val="none" w:sz="0" w:space="0" w:color="auto"/>
            <w:right w:val="none" w:sz="0" w:space="0" w:color="auto"/>
          </w:divBdr>
        </w:div>
        <w:div w:id="1185902924">
          <w:marLeft w:val="0"/>
          <w:marRight w:val="0"/>
          <w:marTop w:val="0"/>
          <w:marBottom w:val="0"/>
          <w:divBdr>
            <w:top w:val="none" w:sz="0" w:space="0" w:color="auto"/>
            <w:left w:val="none" w:sz="0" w:space="0" w:color="auto"/>
            <w:bottom w:val="none" w:sz="0" w:space="0" w:color="auto"/>
            <w:right w:val="none" w:sz="0" w:space="0" w:color="auto"/>
          </w:divBdr>
        </w:div>
        <w:div w:id="1230922650">
          <w:marLeft w:val="0"/>
          <w:marRight w:val="0"/>
          <w:marTop w:val="0"/>
          <w:marBottom w:val="0"/>
          <w:divBdr>
            <w:top w:val="none" w:sz="0" w:space="0" w:color="auto"/>
            <w:left w:val="none" w:sz="0" w:space="0" w:color="auto"/>
            <w:bottom w:val="none" w:sz="0" w:space="0" w:color="auto"/>
            <w:right w:val="none" w:sz="0" w:space="0" w:color="auto"/>
          </w:divBdr>
        </w:div>
        <w:div w:id="1266111613">
          <w:marLeft w:val="0"/>
          <w:marRight w:val="0"/>
          <w:marTop w:val="0"/>
          <w:marBottom w:val="0"/>
          <w:divBdr>
            <w:top w:val="none" w:sz="0" w:space="0" w:color="auto"/>
            <w:left w:val="none" w:sz="0" w:space="0" w:color="auto"/>
            <w:bottom w:val="none" w:sz="0" w:space="0" w:color="auto"/>
            <w:right w:val="none" w:sz="0" w:space="0" w:color="auto"/>
          </w:divBdr>
        </w:div>
        <w:div w:id="1282806824">
          <w:marLeft w:val="0"/>
          <w:marRight w:val="0"/>
          <w:marTop w:val="0"/>
          <w:marBottom w:val="0"/>
          <w:divBdr>
            <w:top w:val="none" w:sz="0" w:space="0" w:color="auto"/>
            <w:left w:val="none" w:sz="0" w:space="0" w:color="auto"/>
            <w:bottom w:val="none" w:sz="0" w:space="0" w:color="auto"/>
            <w:right w:val="none" w:sz="0" w:space="0" w:color="auto"/>
          </w:divBdr>
        </w:div>
        <w:div w:id="1285231100">
          <w:marLeft w:val="0"/>
          <w:marRight w:val="0"/>
          <w:marTop w:val="0"/>
          <w:marBottom w:val="0"/>
          <w:divBdr>
            <w:top w:val="none" w:sz="0" w:space="0" w:color="auto"/>
            <w:left w:val="none" w:sz="0" w:space="0" w:color="auto"/>
            <w:bottom w:val="none" w:sz="0" w:space="0" w:color="auto"/>
            <w:right w:val="none" w:sz="0" w:space="0" w:color="auto"/>
          </w:divBdr>
        </w:div>
        <w:div w:id="1286421239">
          <w:marLeft w:val="0"/>
          <w:marRight w:val="0"/>
          <w:marTop w:val="0"/>
          <w:marBottom w:val="0"/>
          <w:divBdr>
            <w:top w:val="none" w:sz="0" w:space="0" w:color="auto"/>
            <w:left w:val="none" w:sz="0" w:space="0" w:color="auto"/>
            <w:bottom w:val="none" w:sz="0" w:space="0" w:color="auto"/>
            <w:right w:val="none" w:sz="0" w:space="0" w:color="auto"/>
          </w:divBdr>
        </w:div>
        <w:div w:id="1340232664">
          <w:marLeft w:val="0"/>
          <w:marRight w:val="0"/>
          <w:marTop w:val="0"/>
          <w:marBottom w:val="0"/>
          <w:divBdr>
            <w:top w:val="none" w:sz="0" w:space="0" w:color="auto"/>
            <w:left w:val="none" w:sz="0" w:space="0" w:color="auto"/>
            <w:bottom w:val="none" w:sz="0" w:space="0" w:color="auto"/>
            <w:right w:val="none" w:sz="0" w:space="0" w:color="auto"/>
          </w:divBdr>
        </w:div>
        <w:div w:id="1377658139">
          <w:marLeft w:val="0"/>
          <w:marRight w:val="0"/>
          <w:marTop w:val="0"/>
          <w:marBottom w:val="0"/>
          <w:divBdr>
            <w:top w:val="none" w:sz="0" w:space="0" w:color="auto"/>
            <w:left w:val="none" w:sz="0" w:space="0" w:color="auto"/>
            <w:bottom w:val="none" w:sz="0" w:space="0" w:color="auto"/>
            <w:right w:val="none" w:sz="0" w:space="0" w:color="auto"/>
          </w:divBdr>
        </w:div>
        <w:div w:id="1380477152">
          <w:marLeft w:val="0"/>
          <w:marRight w:val="0"/>
          <w:marTop w:val="0"/>
          <w:marBottom w:val="0"/>
          <w:divBdr>
            <w:top w:val="none" w:sz="0" w:space="0" w:color="auto"/>
            <w:left w:val="none" w:sz="0" w:space="0" w:color="auto"/>
            <w:bottom w:val="none" w:sz="0" w:space="0" w:color="auto"/>
            <w:right w:val="none" w:sz="0" w:space="0" w:color="auto"/>
          </w:divBdr>
        </w:div>
        <w:div w:id="1401442321">
          <w:marLeft w:val="0"/>
          <w:marRight w:val="0"/>
          <w:marTop w:val="0"/>
          <w:marBottom w:val="0"/>
          <w:divBdr>
            <w:top w:val="none" w:sz="0" w:space="0" w:color="auto"/>
            <w:left w:val="none" w:sz="0" w:space="0" w:color="auto"/>
            <w:bottom w:val="none" w:sz="0" w:space="0" w:color="auto"/>
            <w:right w:val="none" w:sz="0" w:space="0" w:color="auto"/>
          </w:divBdr>
        </w:div>
        <w:div w:id="1424766041">
          <w:marLeft w:val="0"/>
          <w:marRight w:val="0"/>
          <w:marTop w:val="0"/>
          <w:marBottom w:val="0"/>
          <w:divBdr>
            <w:top w:val="none" w:sz="0" w:space="0" w:color="auto"/>
            <w:left w:val="none" w:sz="0" w:space="0" w:color="auto"/>
            <w:bottom w:val="none" w:sz="0" w:space="0" w:color="auto"/>
            <w:right w:val="none" w:sz="0" w:space="0" w:color="auto"/>
          </w:divBdr>
        </w:div>
        <w:div w:id="1436361520">
          <w:marLeft w:val="0"/>
          <w:marRight w:val="0"/>
          <w:marTop w:val="0"/>
          <w:marBottom w:val="0"/>
          <w:divBdr>
            <w:top w:val="none" w:sz="0" w:space="0" w:color="auto"/>
            <w:left w:val="none" w:sz="0" w:space="0" w:color="auto"/>
            <w:bottom w:val="none" w:sz="0" w:space="0" w:color="auto"/>
            <w:right w:val="none" w:sz="0" w:space="0" w:color="auto"/>
          </w:divBdr>
        </w:div>
        <w:div w:id="1473982081">
          <w:marLeft w:val="0"/>
          <w:marRight w:val="0"/>
          <w:marTop w:val="0"/>
          <w:marBottom w:val="0"/>
          <w:divBdr>
            <w:top w:val="none" w:sz="0" w:space="0" w:color="auto"/>
            <w:left w:val="none" w:sz="0" w:space="0" w:color="auto"/>
            <w:bottom w:val="none" w:sz="0" w:space="0" w:color="auto"/>
            <w:right w:val="none" w:sz="0" w:space="0" w:color="auto"/>
          </w:divBdr>
        </w:div>
        <w:div w:id="1501192026">
          <w:marLeft w:val="0"/>
          <w:marRight w:val="0"/>
          <w:marTop w:val="0"/>
          <w:marBottom w:val="0"/>
          <w:divBdr>
            <w:top w:val="none" w:sz="0" w:space="0" w:color="auto"/>
            <w:left w:val="none" w:sz="0" w:space="0" w:color="auto"/>
            <w:bottom w:val="none" w:sz="0" w:space="0" w:color="auto"/>
            <w:right w:val="none" w:sz="0" w:space="0" w:color="auto"/>
          </w:divBdr>
          <w:divsChild>
            <w:div w:id="1866283138">
              <w:marLeft w:val="0"/>
              <w:marRight w:val="0"/>
              <w:marTop w:val="0"/>
              <w:marBottom w:val="0"/>
              <w:divBdr>
                <w:top w:val="none" w:sz="0" w:space="0" w:color="auto"/>
                <w:left w:val="none" w:sz="0" w:space="0" w:color="auto"/>
                <w:bottom w:val="none" w:sz="0" w:space="0" w:color="auto"/>
                <w:right w:val="none" w:sz="0" w:space="0" w:color="auto"/>
              </w:divBdr>
            </w:div>
          </w:divsChild>
        </w:div>
        <w:div w:id="1511526169">
          <w:marLeft w:val="0"/>
          <w:marRight w:val="0"/>
          <w:marTop w:val="0"/>
          <w:marBottom w:val="0"/>
          <w:divBdr>
            <w:top w:val="none" w:sz="0" w:space="0" w:color="auto"/>
            <w:left w:val="none" w:sz="0" w:space="0" w:color="auto"/>
            <w:bottom w:val="none" w:sz="0" w:space="0" w:color="auto"/>
            <w:right w:val="none" w:sz="0" w:space="0" w:color="auto"/>
          </w:divBdr>
        </w:div>
        <w:div w:id="1514147421">
          <w:marLeft w:val="0"/>
          <w:marRight w:val="0"/>
          <w:marTop w:val="0"/>
          <w:marBottom w:val="0"/>
          <w:divBdr>
            <w:top w:val="none" w:sz="0" w:space="0" w:color="auto"/>
            <w:left w:val="none" w:sz="0" w:space="0" w:color="auto"/>
            <w:bottom w:val="none" w:sz="0" w:space="0" w:color="auto"/>
            <w:right w:val="none" w:sz="0" w:space="0" w:color="auto"/>
          </w:divBdr>
        </w:div>
        <w:div w:id="1516730704">
          <w:marLeft w:val="0"/>
          <w:marRight w:val="0"/>
          <w:marTop w:val="0"/>
          <w:marBottom w:val="0"/>
          <w:divBdr>
            <w:top w:val="none" w:sz="0" w:space="0" w:color="auto"/>
            <w:left w:val="none" w:sz="0" w:space="0" w:color="auto"/>
            <w:bottom w:val="none" w:sz="0" w:space="0" w:color="auto"/>
            <w:right w:val="none" w:sz="0" w:space="0" w:color="auto"/>
          </w:divBdr>
        </w:div>
        <w:div w:id="1529441094">
          <w:marLeft w:val="0"/>
          <w:marRight w:val="0"/>
          <w:marTop w:val="0"/>
          <w:marBottom w:val="0"/>
          <w:divBdr>
            <w:top w:val="none" w:sz="0" w:space="0" w:color="auto"/>
            <w:left w:val="none" w:sz="0" w:space="0" w:color="auto"/>
            <w:bottom w:val="none" w:sz="0" w:space="0" w:color="auto"/>
            <w:right w:val="none" w:sz="0" w:space="0" w:color="auto"/>
          </w:divBdr>
          <w:divsChild>
            <w:div w:id="498351377">
              <w:marLeft w:val="0"/>
              <w:marRight w:val="0"/>
              <w:marTop w:val="0"/>
              <w:marBottom w:val="0"/>
              <w:divBdr>
                <w:top w:val="none" w:sz="0" w:space="0" w:color="auto"/>
                <w:left w:val="none" w:sz="0" w:space="0" w:color="auto"/>
                <w:bottom w:val="none" w:sz="0" w:space="0" w:color="auto"/>
                <w:right w:val="none" w:sz="0" w:space="0" w:color="auto"/>
              </w:divBdr>
            </w:div>
            <w:div w:id="1332952621">
              <w:marLeft w:val="0"/>
              <w:marRight w:val="0"/>
              <w:marTop w:val="0"/>
              <w:marBottom w:val="0"/>
              <w:divBdr>
                <w:top w:val="none" w:sz="0" w:space="0" w:color="auto"/>
                <w:left w:val="none" w:sz="0" w:space="0" w:color="auto"/>
                <w:bottom w:val="none" w:sz="0" w:space="0" w:color="auto"/>
                <w:right w:val="none" w:sz="0" w:space="0" w:color="auto"/>
              </w:divBdr>
            </w:div>
            <w:div w:id="1732269788">
              <w:marLeft w:val="0"/>
              <w:marRight w:val="0"/>
              <w:marTop w:val="0"/>
              <w:marBottom w:val="0"/>
              <w:divBdr>
                <w:top w:val="none" w:sz="0" w:space="0" w:color="auto"/>
                <w:left w:val="none" w:sz="0" w:space="0" w:color="auto"/>
                <w:bottom w:val="none" w:sz="0" w:space="0" w:color="auto"/>
                <w:right w:val="none" w:sz="0" w:space="0" w:color="auto"/>
              </w:divBdr>
            </w:div>
          </w:divsChild>
        </w:div>
        <w:div w:id="1539858057">
          <w:marLeft w:val="0"/>
          <w:marRight w:val="0"/>
          <w:marTop w:val="0"/>
          <w:marBottom w:val="0"/>
          <w:divBdr>
            <w:top w:val="none" w:sz="0" w:space="0" w:color="auto"/>
            <w:left w:val="none" w:sz="0" w:space="0" w:color="auto"/>
            <w:bottom w:val="none" w:sz="0" w:space="0" w:color="auto"/>
            <w:right w:val="none" w:sz="0" w:space="0" w:color="auto"/>
          </w:divBdr>
          <w:divsChild>
            <w:div w:id="1228616049">
              <w:marLeft w:val="0"/>
              <w:marRight w:val="0"/>
              <w:marTop w:val="0"/>
              <w:marBottom w:val="0"/>
              <w:divBdr>
                <w:top w:val="none" w:sz="0" w:space="0" w:color="auto"/>
                <w:left w:val="none" w:sz="0" w:space="0" w:color="auto"/>
                <w:bottom w:val="none" w:sz="0" w:space="0" w:color="auto"/>
                <w:right w:val="none" w:sz="0" w:space="0" w:color="auto"/>
              </w:divBdr>
            </w:div>
            <w:div w:id="1545025221">
              <w:marLeft w:val="0"/>
              <w:marRight w:val="0"/>
              <w:marTop w:val="0"/>
              <w:marBottom w:val="0"/>
              <w:divBdr>
                <w:top w:val="none" w:sz="0" w:space="0" w:color="auto"/>
                <w:left w:val="none" w:sz="0" w:space="0" w:color="auto"/>
                <w:bottom w:val="none" w:sz="0" w:space="0" w:color="auto"/>
                <w:right w:val="none" w:sz="0" w:space="0" w:color="auto"/>
              </w:divBdr>
            </w:div>
          </w:divsChild>
        </w:div>
        <w:div w:id="1548250445">
          <w:marLeft w:val="0"/>
          <w:marRight w:val="0"/>
          <w:marTop w:val="0"/>
          <w:marBottom w:val="0"/>
          <w:divBdr>
            <w:top w:val="none" w:sz="0" w:space="0" w:color="auto"/>
            <w:left w:val="none" w:sz="0" w:space="0" w:color="auto"/>
            <w:bottom w:val="none" w:sz="0" w:space="0" w:color="auto"/>
            <w:right w:val="none" w:sz="0" w:space="0" w:color="auto"/>
          </w:divBdr>
        </w:div>
        <w:div w:id="1548253353">
          <w:marLeft w:val="0"/>
          <w:marRight w:val="0"/>
          <w:marTop w:val="0"/>
          <w:marBottom w:val="0"/>
          <w:divBdr>
            <w:top w:val="none" w:sz="0" w:space="0" w:color="auto"/>
            <w:left w:val="none" w:sz="0" w:space="0" w:color="auto"/>
            <w:bottom w:val="none" w:sz="0" w:space="0" w:color="auto"/>
            <w:right w:val="none" w:sz="0" w:space="0" w:color="auto"/>
          </w:divBdr>
        </w:div>
        <w:div w:id="1553275140">
          <w:marLeft w:val="0"/>
          <w:marRight w:val="0"/>
          <w:marTop w:val="0"/>
          <w:marBottom w:val="0"/>
          <w:divBdr>
            <w:top w:val="none" w:sz="0" w:space="0" w:color="auto"/>
            <w:left w:val="none" w:sz="0" w:space="0" w:color="auto"/>
            <w:bottom w:val="none" w:sz="0" w:space="0" w:color="auto"/>
            <w:right w:val="none" w:sz="0" w:space="0" w:color="auto"/>
          </w:divBdr>
        </w:div>
        <w:div w:id="1584409497">
          <w:marLeft w:val="0"/>
          <w:marRight w:val="0"/>
          <w:marTop w:val="0"/>
          <w:marBottom w:val="0"/>
          <w:divBdr>
            <w:top w:val="none" w:sz="0" w:space="0" w:color="auto"/>
            <w:left w:val="none" w:sz="0" w:space="0" w:color="auto"/>
            <w:bottom w:val="none" w:sz="0" w:space="0" w:color="auto"/>
            <w:right w:val="none" w:sz="0" w:space="0" w:color="auto"/>
          </w:divBdr>
        </w:div>
        <w:div w:id="1623265917">
          <w:marLeft w:val="0"/>
          <w:marRight w:val="0"/>
          <w:marTop w:val="0"/>
          <w:marBottom w:val="0"/>
          <w:divBdr>
            <w:top w:val="none" w:sz="0" w:space="0" w:color="auto"/>
            <w:left w:val="none" w:sz="0" w:space="0" w:color="auto"/>
            <w:bottom w:val="none" w:sz="0" w:space="0" w:color="auto"/>
            <w:right w:val="none" w:sz="0" w:space="0" w:color="auto"/>
          </w:divBdr>
        </w:div>
        <w:div w:id="1629969653">
          <w:marLeft w:val="0"/>
          <w:marRight w:val="0"/>
          <w:marTop w:val="0"/>
          <w:marBottom w:val="0"/>
          <w:divBdr>
            <w:top w:val="none" w:sz="0" w:space="0" w:color="auto"/>
            <w:left w:val="none" w:sz="0" w:space="0" w:color="auto"/>
            <w:bottom w:val="none" w:sz="0" w:space="0" w:color="auto"/>
            <w:right w:val="none" w:sz="0" w:space="0" w:color="auto"/>
          </w:divBdr>
        </w:div>
        <w:div w:id="1643467383">
          <w:marLeft w:val="0"/>
          <w:marRight w:val="0"/>
          <w:marTop w:val="0"/>
          <w:marBottom w:val="0"/>
          <w:divBdr>
            <w:top w:val="none" w:sz="0" w:space="0" w:color="auto"/>
            <w:left w:val="none" w:sz="0" w:space="0" w:color="auto"/>
            <w:bottom w:val="none" w:sz="0" w:space="0" w:color="auto"/>
            <w:right w:val="none" w:sz="0" w:space="0" w:color="auto"/>
          </w:divBdr>
        </w:div>
        <w:div w:id="1654141129">
          <w:marLeft w:val="0"/>
          <w:marRight w:val="0"/>
          <w:marTop w:val="0"/>
          <w:marBottom w:val="0"/>
          <w:divBdr>
            <w:top w:val="none" w:sz="0" w:space="0" w:color="auto"/>
            <w:left w:val="none" w:sz="0" w:space="0" w:color="auto"/>
            <w:bottom w:val="none" w:sz="0" w:space="0" w:color="auto"/>
            <w:right w:val="none" w:sz="0" w:space="0" w:color="auto"/>
          </w:divBdr>
        </w:div>
        <w:div w:id="1665622090">
          <w:marLeft w:val="0"/>
          <w:marRight w:val="0"/>
          <w:marTop w:val="0"/>
          <w:marBottom w:val="0"/>
          <w:divBdr>
            <w:top w:val="none" w:sz="0" w:space="0" w:color="auto"/>
            <w:left w:val="none" w:sz="0" w:space="0" w:color="auto"/>
            <w:bottom w:val="none" w:sz="0" w:space="0" w:color="auto"/>
            <w:right w:val="none" w:sz="0" w:space="0" w:color="auto"/>
          </w:divBdr>
        </w:div>
        <w:div w:id="1678924997">
          <w:marLeft w:val="0"/>
          <w:marRight w:val="0"/>
          <w:marTop w:val="0"/>
          <w:marBottom w:val="0"/>
          <w:divBdr>
            <w:top w:val="none" w:sz="0" w:space="0" w:color="auto"/>
            <w:left w:val="none" w:sz="0" w:space="0" w:color="auto"/>
            <w:bottom w:val="none" w:sz="0" w:space="0" w:color="auto"/>
            <w:right w:val="none" w:sz="0" w:space="0" w:color="auto"/>
          </w:divBdr>
        </w:div>
        <w:div w:id="1682465668">
          <w:marLeft w:val="0"/>
          <w:marRight w:val="0"/>
          <w:marTop w:val="0"/>
          <w:marBottom w:val="0"/>
          <w:divBdr>
            <w:top w:val="none" w:sz="0" w:space="0" w:color="auto"/>
            <w:left w:val="none" w:sz="0" w:space="0" w:color="auto"/>
            <w:bottom w:val="none" w:sz="0" w:space="0" w:color="auto"/>
            <w:right w:val="none" w:sz="0" w:space="0" w:color="auto"/>
          </w:divBdr>
        </w:div>
        <w:div w:id="1705978108">
          <w:marLeft w:val="0"/>
          <w:marRight w:val="0"/>
          <w:marTop w:val="0"/>
          <w:marBottom w:val="0"/>
          <w:divBdr>
            <w:top w:val="none" w:sz="0" w:space="0" w:color="auto"/>
            <w:left w:val="none" w:sz="0" w:space="0" w:color="auto"/>
            <w:bottom w:val="none" w:sz="0" w:space="0" w:color="auto"/>
            <w:right w:val="none" w:sz="0" w:space="0" w:color="auto"/>
          </w:divBdr>
        </w:div>
        <w:div w:id="1746416266">
          <w:marLeft w:val="0"/>
          <w:marRight w:val="0"/>
          <w:marTop w:val="0"/>
          <w:marBottom w:val="0"/>
          <w:divBdr>
            <w:top w:val="none" w:sz="0" w:space="0" w:color="auto"/>
            <w:left w:val="none" w:sz="0" w:space="0" w:color="auto"/>
            <w:bottom w:val="none" w:sz="0" w:space="0" w:color="auto"/>
            <w:right w:val="none" w:sz="0" w:space="0" w:color="auto"/>
          </w:divBdr>
        </w:div>
        <w:div w:id="1782258344">
          <w:marLeft w:val="0"/>
          <w:marRight w:val="0"/>
          <w:marTop w:val="0"/>
          <w:marBottom w:val="0"/>
          <w:divBdr>
            <w:top w:val="none" w:sz="0" w:space="0" w:color="auto"/>
            <w:left w:val="none" w:sz="0" w:space="0" w:color="auto"/>
            <w:bottom w:val="none" w:sz="0" w:space="0" w:color="auto"/>
            <w:right w:val="none" w:sz="0" w:space="0" w:color="auto"/>
          </w:divBdr>
        </w:div>
        <w:div w:id="1788355537">
          <w:marLeft w:val="0"/>
          <w:marRight w:val="0"/>
          <w:marTop w:val="0"/>
          <w:marBottom w:val="0"/>
          <w:divBdr>
            <w:top w:val="none" w:sz="0" w:space="0" w:color="auto"/>
            <w:left w:val="none" w:sz="0" w:space="0" w:color="auto"/>
            <w:bottom w:val="none" w:sz="0" w:space="0" w:color="auto"/>
            <w:right w:val="none" w:sz="0" w:space="0" w:color="auto"/>
          </w:divBdr>
        </w:div>
        <w:div w:id="1830826431">
          <w:marLeft w:val="0"/>
          <w:marRight w:val="0"/>
          <w:marTop w:val="0"/>
          <w:marBottom w:val="0"/>
          <w:divBdr>
            <w:top w:val="none" w:sz="0" w:space="0" w:color="auto"/>
            <w:left w:val="none" w:sz="0" w:space="0" w:color="auto"/>
            <w:bottom w:val="none" w:sz="0" w:space="0" w:color="auto"/>
            <w:right w:val="none" w:sz="0" w:space="0" w:color="auto"/>
          </w:divBdr>
        </w:div>
        <w:div w:id="1916745353">
          <w:marLeft w:val="0"/>
          <w:marRight w:val="0"/>
          <w:marTop w:val="0"/>
          <w:marBottom w:val="0"/>
          <w:divBdr>
            <w:top w:val="none" w:sz="0" w:space="0" w:color="auto"/>
            <w:left w:val="none" w:sz="0" w:space="0" w:color="auto"/>
            <w:bottom w:val="none" w:sz="0" w:space="0" w:color="auto"/>
            <w:right w:val="none" w:sz="0" w:space="0" w:color="auto"/>
          </w:divBdr>
        </w:div>
        <w:div w:id="1926189217">
          <w:marLeft w:val="0"/>
          <w:marRight w:val="0"/>
          <w:marTop w:val="0"/>
          <w:marBottom w:val="0"/>
          <w:divBdr>
            <w:top w:val="none" w:sz="0" w:space="0" w:color="auto"/>
            <w:left w:val="none" w:sz="0" w:space="0" w:color="auto"/>
            <w:bottom w:val="none" w:sz="0" w:space="0" w:color="auto"/>
            <w:right w:val="none" w:sz="0" w:space="0" w:color="auto"/>
          </w:divBdr>
        </w:div>
        <w:div w:id="1969507744">
          <w:marLeft w:val="0"/>
          <w:marRight w:val="0"/>
          <w:marTop w:val="0"/>
          <w:marBottom w:val="0"/>
          <w:divBdr>
            <w:top w:val="none" w:sz="0" w:space="0" w:color="auto"/>
            <w:left w:val="none" w:sz="0" w:space="0" w:color="auto"/>
            <w:bottom w:val="none" w:sz="0" w:space="0" w:color="auto"/>
            <w:right w:val="none" w:sz="0" w:space="0" w:color="auto"/>
          </w:divBdr>
        </w:div>
        <w:div w:id="1969509015">
          <w:marLeft w:val="0"/>
          <w:marRight w:val="0"/>
          <w:marTop w:val="0"/>
          <w:marBottom w:val="0"/>
          <w:divBdr>
            <w:top w:val="none" w:sz="0" w:space="0" w:color="auto"/>
            <w:left w:val="none" w:sz="0" w:space="0" w:color="auto"/>
            <w:bottom w:val="none" w:sz="0" w:space="0" w:color="auto"/>
            <w:right w:val="none" w:sz="0" w:space="0" w:color="auto"/>
          </w:divBdr>
        </w:div>
        <w:div w:id="1974871665">
          <w:marLeft w:val="0"/>
          <w:marRight w:val="0"/>
          <w:marTop w:val="0"/>
          <w:marBottom w:val="0"/>
          <w:divBdr>
            <w:top w:val="none" w:sz="0" w:space="0" w:color="auto"/>
            <w:left w:val="none" w:sz="0" w:space="0" w:color="auto"/>
            <w:bottom w:val="none" w:sz="0" w:space="0" w:color="auto"/>
            <w:right w:val="none" w:sz="0" w:space="0" w:color="auto"/>
          </w:divBdr>
        </w:div>
        <w:div w:id="2006394178">
          <w:marLeft w:val="0"/>
          <w:marRight w:val="0"/>
          <w:marTop w:val="0"/>
          <w:marBottom w:val="0"/>
          <w:divBdr>
            <w:top w:val="none" w:sz="0" w:space="0" w:color="auto"/>
            <w:left w:val="none" w:sz="0" w:space="0" w:color="auto"/>
            <w:bottom w:val="none" w:sz="0" w:space="0" w:color="auto"/>
            <w:right w:val="none" w:sz="0" w:space="0" w:color="auto"/>
          </w:divBdr>
          <w:divsChild>
            <w:div w:id="588277136">
              <w:marLeft w:val="0"/>
              <w:marRight w:val="0"/>
              <w:marTop w:val="0"/>
              <w:marBottom w:val="0"/>
              <w:divBdr>
                <w:top w:val="none" w:sz="0" w:space="0" w:color="auto"/>
                <w:left w:val="none" w:sz="0" w:space="0" w:color="auto"/>
                <w:bottom w:val="none" w:sz="0" w:space="0" w:color="auto"/>
                <w:right w:val="none" w:sz="0" w:space="0" w:color="auto"/>
              </w:divBdr>
            </w:div>
            <w:div w:id="993681950">
              <w:marLeft w:val="0"/>
              <w:marRight w:val="0"/>
              <w:marTop w:val="0"/>
              <w:marBottom w:val="0"/>
              <w:divBdr>
                <w:top w:val="none" w:sz="0" w:space="0" w:color="auto"/>
                <w:left w:val="none" w:sz="0" w:space="0" w:color="auto"/>
                <w:bottom w:val="none" w:sz="0" w:space="0" w:color="auto"/>
                <w:right w:val="none" w:sz="0" w:space="0" w:color="auto"/>
              </w:divBdr>
            </w:div>
            <w:div w:id="1176000378">
              <w:marLeft w:val="0"/>
              <w:marRight w:val="0"/>
              <w:marTop w:val="0"/>
              <w:marBottom w:val="0"/>
              <w:divBdr>
                <w:top w:val="none" w:sz="0" w:space="0" w:color="auto"/>
                <w:left w:val="none" w:sz="0" w:space="0" w:color="auto"/>
                <w:bottom w:val="none" w:sz="0" w:space="0" w:color="auto"/>
                <w:right w:val="none" w:sz="0" w:space="0" w:color="auto"/>
              </w:divBdr>
            </w:div>
            <w:div w:id="1718778298">
              <w:marLeft w:val="0"/>
              <w:marRight w:val="0"/>
              <w:marTop w:val="0"/>
              <w:marBottom w:val="0"/>
              <w:divBdr>
                <w:top w:val="none" w:sz="0" w:space="0" w:color="auto"/>
                <w:left w:val="none" w:sz="0" w:space="0" w:color="auto"/>
                <w:bottom w:val="none" w:sz="0" w:space="0" w:color="auto"/>
                <w:right w:val="none" w:sz="0" w:space="0" w:color="auto"/>
              </w:divBdr>
            </w:div>
            <w:div w:id="2079785435">
              <w:marLeft w:val="0"/>
              <w:marRight w:val="0"/>
              <w:marTop w:val="0"/>
              <w:marBottom w:val="0"/>
              <w:divBdr>
                <w:top w:val="none" w:sz="0" w:space="0" w:color="auto"/>
                <w:left w:val="none" w:sz="0" w:space="0" w:color="auto"/>
                <w:bottom w:val="none" w:sz="0" w:space="0" w:color="auto"/>
                <w:right w:val="none" w:sz="0" w:space="0" w:color="auto"/>
              </w:divBdr>
            </w:div>
          </w:divsChild>
        </w:div>
        <w:div w:id="2010212751">
          <w:marLeft w:val="0"/>
          <w:marRight w:val="0"/>
          <w:marTop w:val="0"/>
          <w:marBottom w:val="0"/>
          <w:divBdr>
            <w:top w:val="none" w:sz="0" w:space="0" w:color="auto"/>
            <w:left w:val="none" w:sz="0" w:space="0" w:color="auto"/>
            <w:bottom w:val="none" w:sz="0" w:space="0" w:color="auto"/>
            <w:right w:val="none" w:sz="0" w:space="0" w:color="auto"/>
          </w:divBdr>
        </w:div>
        <w:div w:id="2025013367">
          <w:marLeft w:val="0"/>
          <w:marRight w:val="0"/>
          <w:marTop w:val="0"/>
          <w:marBottom w:val="0"/>
          <w:divBdr>
            <w:top w:val="none" w:sz="0" w:space="0" w:color="auto"/>
            <w:left w:val="none" w:sz="0" w:space="0" w:color="auto"/>
            <w:bottom w:val="none" w:sz="0" w:space="0" w:color="auto"/>
            <w:right w:val="none" w:sz="0" w:space="0" w:color="auto"/>
          </w:divBdr>
        </w:div>
        <w:div w:id="2078623559">
          <w:marLeft w:val="0"/>
          <w:marRight w:val="0"/>
          <w:marTop w:val="0"/>
          <w:marBottom w:val="0"/>
          <w:divBdr>
            <w:top w:val="none" w:sz="0" w:space="0" w:color="auto"/>
            <w:left w:val="none" w:sz="0" w:space="0" w:color="auto"/>
            <w:bottom w:val="none" w:sz="0" w:space="0" w:color="auto"/>
            <w:right w:val="none" w:sz="0" w:space="0" w:color="auto"/>
          </w:divBdr>
        </w:div>
        <w:div w:id="2135785061">
          <w:marLeft w:val="0"/>
          <w:marRight w:val="0"/>
          <w:marTop w:val="0"/>
          <w:marBottom w:val="0"/>
          <w:divBdr>
            <w:top w:val="none" w:sz="0" w:space="0" w:color="auto"/>
            <w:left w:val="none" w:sz="0" w:space="0" w:color="auto"/>
            <w:bottom w:val="none" w:sz="0" w:space="0" w:color="auto"/>
            <w:right w:val="none" w:sz="0" w:space="0" w:color="auto"/>
          </w:divBdr>
        </w:div>
      </w:divsChild>
    </w:div>
    <w:div w:id="266351347">
      <w:bodyDiv w:val="1"/>
      <w:marLeft w:val="0"/>
      <w:marRight w:val="0"/>
      <w:marTop w:val="0"/>
      <w:marBottom w:val="0"/>
      <w:divBdr>
        <w:top w:val="none" w:sz="0" w:space="0" w:color="auto"/>
        <w:left w:val="none" w:sz="0" w:space="0" w:color="auto"/>
        <w:bottom w:val="none" w:sz="0" w:space="0" w:color="auto"/>
        <w:right w:val="none" w:sz="0" w:space="0" w:color="auto"/>
      </w:divBdr>
    </w:div>
    <w:div w:id="465778117">
      <w:bodyDiv w:val="1"/>
      <w:marLeft w:val="0"/>
      <w:marRight w:val="0"/>
      <w:marTop w:val="0"/>
      <w:marBottom w:val="0"/>
      <w:divBdr>
        <w:top w:val="none" w:sz="0" w:space="0" w:color="auto"/>
        <w:left w:val="none" w:sz="0" w:space="0" w:color="auto"/>
        <w:bottom w:val="none" w:sz="0" w:space="0" w:color="auto"/>
        <w:right w:val="none" w:sz="0" w:space="0" w:color="auto"/>
      </w:divBdr>
    </w:div>
    <w:div w:id="911087427">
      <w:bodyDiv w:val="1"/>
      <w:marLeft w:val="0"/>
      <w:marRight w:val="0"/>
      <w:marTop w:val="0"/>
      <w:marBottom w:val="0"/>
      <w:divBdr>
        <w:top w:val="none" w:sz="0" w:space="0" w:color="auto"/>
        <w:left w:val="none" w:sz="0" w:space="0" w:color="auto"/>
        <w:bottom w:val="none" w:sz="0" w:space="0" w:color="auto"/>
        <w:right w:val="none" w:sz="0" w:space="0" w:color="auto"/>
      </w:divBdr>
    </w:div>
    <w:div w:id="1565678546">
      <w:bodyDiv w:val="1"/>
      <w:marLeft w:val="0"/>
      <w:marRight w:val="0"/>
      <w:marTop w:val="0"/>
      <w:marBottom w:val="0"/>
      <w:divBdr>
        <w:top w:val="none" w:sz="0" w:space="0" w:color="auto"/>
        <w:left w:val="none" w:sz="0" w:space="0" w:color="auto"/>
        <w:bottom w:val="none" w:sz="0" w:space="0" w:color="auto"/>
        <w:right w:val="none" w:sz="0" w:space="0" w:color="auto"/>
      </w:divBdr>
    </w:div>
    <w:div w:id="1899123578">
      <w:bodyDiv w:val="1"/>
      <w:marLeft w:val="0"/>
      <w:marRight w:val="0"/>
      <w:marTop w:val="0"/>
      <w:marBottom w:val="0"/>
      <w:divBdr>
        <w:top w:val="none" w:sz="0" w:space="0" w:color="auto"/>
        <w:left w:val="none" w:sz="0" w:space="0" w:color="auto"/>
        <w:bottom w:val="none" w:sz="0" w:space="0" w:color="auto"/>
        <w:right w:val="none" w:sz="0" w:space="0" w:color="auto"/>
      </w:divBdr>
    </w:div>
    <w:div w:id="21399059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phanie.millar@ca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s.org.uk/system/files/publications/ppm_report_13.02.23.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ofgem.gov.uk/publications/energy-regulator-outlines-next-steps-forced-prepayment-meter-ppm-installations" TargetMode="External"/><Relationship Id="rId7" Type="http://schemas.openxmlformats.org/officeDocument/2006/relationships/hyperlink" Target="https://www.legislation.gov.uk/asp/2019/10/section/3/enacted" TargetMode="External"/><Relationship Id="rId2" Type="http://schemas.openxmlformats.org/officeDocument/2006/relationships/hyperlink" Target="https://inclusionscotland.org/get-informed/social-model" TargetMode="External"/><Relationship Id="rId1" Type="http://schemas.openxmlformats.org/officeDocument/2006/relationships/hyperlink" Target="https://www.citizensadvice.org.uk/scotland/benefits/help-if-on-a-low-income/scottish-welfare-fund-s/scottish-welfare-fund-overview-s/" TargetMode="External"/><Relationship Id="rId6" Type="http://schemas.openxmlformats.org/officeDocument/2006/relationships/hyperlink" Target="https://www.gov.scot/publications/tackling-fuel-poverty-scotland-strategic-approach/pages/2/" TargetMode="External"/><Relationship Id="rId5" Type="http://schemas.openxmlformats.org/officeDocument/2006/relationships/hyperlink" Target="https://www.gov.scot/binaries/content/documents/govscot/publications/statistics/2020/12/scottish-house-condition-survey-2019-key-findings/documents/scottish-house-condition-survey-2019-key-findings/scottish-house-condition-survey-2019-key-findings/govscot%3Adocument/scottish-house-condition-survey-2019-key-findings.pdf" TargetMode="External"/><Relationship Id="rId4" Type="http://schemas.openxmlformats.org/officeDocument/2006/relationships/hyperlink" Target="https://www.fca.org.uk/publications/finalised-guidance/guidance-firms-fair-treatment-vulnerable-custom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ategory xmlns="f14003d8-189c-4848-b6f8-25bad7f35840" xsi:nil="true"/>
    <Owner xmlns="f14003d8-189c-4848-b6f8-25bad7f35840">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821D8D7D19C24F993AB204CCB9600A" ma:contentTypeVersion="15" ma:contentTypeDescription="Create a new document." ma:contentTypeScope="" ma:versionID="9b354119d992fba65d633bc6b7fe4860">
  <xsd:schema xmlns:xsd="http://www.w3.org/2001/XMLSchema" xmlns:xs="http://www.w3.org/2001/XMLSchema" xmlns:p="http://schemas.microsoft.com/office/2006/metadata/properties" xmlns:ns2="f14003d8-189c-4848-b6f8-25bad7f35840" xmlns:ns3="5c42ad33-de3f-4e14-a3fb-8018ffda0643" targetNamespace="http://schemas.microsoft.com/office/2006/metadata/properties" ma:root="true" ma:fieldsID="11b056ec421e52be53c6d9c478922fae" ns2:_="" ns3:_="">
    <xsd:import namespace="f14003d8-189c-4848-b6f8-25bad7f35840"/>
    <xsd:import namespace="5c42ad33-de3f-4e14-a3fb-8018ffda06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Category" minOccurs="0"/>
                <xsd:element ref="ns2:Owne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003d8-189c-4848-b6f8-25bad7f35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ategory" ma:index="20" nillable="true" ma:displayName="Category" ma:description="Type of document for filing" ma:format="Dropdown" ma:internalName="Category">
      <xsd:simpleType>
        <xsd:union memberTypes="dms:Text">
          <xsd:simpleType>
            <xsd:restriction base="dms:Choice">
              <xsd:enumeration value="Consultation response"/>
              <xsd:enumeration value="Letter"/>
              <xsd:enumeration value="SCoRSS UC subgroup"/>
              <xsd:enumeration value="DWP data"/>
              <xsd:enumeration value="CAB data"/>
            </xsd:restriction>
          </xsd:simpleType>
        </xsd:union>
      </xsd:simpleType>
    </xsd:element>
    <xsd:element name="Owner" ma:index="21"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42ad33-de3f-4e14-a3fb-8018ffda064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F8EC8-C445-4591-AD69-2F64C20BCFFA}">
  <ds:schemaRefs>
    <ds:schemaRef ds:uri="http://schemas.openxmlformats.org/officeDocument/2006/bibliography"/>
  </ds:schemaRefs>
</ds:datastoreItem>
</file>

<file path=customXml/itemProps2.xml><?xml version="1.0" encoding="utf-8"?>
<ds:datastoreItem xmlns:ds="http://schemas.openxmlformats.org/officeDocument/2006/customXml" ds:itemID="{6AFF3562-BF1D-48C3-A3C1-0D767E4F240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5c42ad33-de3f-4e14-a3fb-8018ffda0643"/>
    <ds:schemaRef ds:uri="f14003d8-189c-4848-b6f8-25bad7f35840"/>
    <ds:schemaRef ds:uri="http://www.w3.org/XML/1998/namespace"/>
    <ds:schemaRef ds:uri="http://purl.org/dc/elements/1.1/"/>
  </ds:schemaRefs>
</ds:datastoreItem>
</file>

<file path=customXml/itemProps3.xml><?xml version="1.0" encoding="utf-8"?>
<ds:datastoreItem xmlns:ds="http://schemas.openxmlformats.org/officeDocument/2006/customXml" ds:itemID="{D69B4D60-85DC-42BA-B0D5-62E3840B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003d8-189c-4848-b6f8-25bad7f35840"/>
    <ds:schemaRef ds:uri="5c42ad33-de3f-4e14-a3fb-8018ffda0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B6A3D-C4B5-4754-82A7-6977F4AA4E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3442</Words>
  <Characters>19622</Characters>
  <Application>Microsoft Office Word</Application>
  <DocSecurity>0</DocSecurity>
  <Lines>163</Lines>
  <Paragraphs>46</Paragraphs>
  <ScaleCrop>false</ScaleCrop>
  <Company>Citizens Advice Scotland</Company>
  <LinksUpToDate>false</LinksUpToDate>
  <CharactersWithSpaces>23018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Walker</dc:creator>
  <cp:keywords/>
  <cp:lastModifiedBy>Stephanie Millar</cp:lastModifiedBy>
  <cp:revision>2</cp:revision>
  <cp:lastPrinted>2017-08-25T19:09:00Z</cp:lastPrinted>
  <dcterms:created xsi:type="dcterms:W3CDTF">2023-03-27T13:13:00Z</dcterms:created>
  <dcterms:modified xsi:type="dcterms:W3CDTF">2023-03-27T13:13:00Z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0x01010038821D8D7D19C24F993AB204CCB9600A</vt:lpwstr>
  </property>
</Properties>
</file>